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B3D" w14:textId="65C4B78B" w:rsidR="00AE5135" w:rsidRPr="00367300" w:rsidRDefault="00300C9C" w:rsidP="00B9621F">
      <w:pPr>
        <w:rPr>
          <w:rFonts w:ascii="Arial" w:eastAsia="Arial" w:hAnsi="Arial" w:cs="Arial"/>
          <w:b/>
          <w:bCs/>
          <w:color w:val="000000" w:themeColor="text1"/>
          <w:sz w:val="28"/>
          <w:szCs w:val="28"/>
        </w:rPr>
      </w:pPr>
      <w:r w:rsidRPr="00367300">
        <w:rPr>
          <w:rFonts w:ascii="Arial" w:eastAsia="Arial" w:hAnsi="Arial" w:cs="Arial"/>
          <w:b/>
          <w:bCs/>
          <w:color w:val="000000" w:themeColor="text1"/>
          <w:sz w:val="28"/>
          <w:szCs w:val="28"/>
        </w:rPr>
        <w:t xml:space="preserve">Amendments to </w:t>
      </w:r>
      <w:r w:rsidR="00A92E37" w:rsidRPr="00367300">
        <w:rPr>
          <w:rFonts w:ascii="Arial" w:eastAsia="Arial" w:hAnsi="Arial" w:cs="Arial"/>
          <w:b/>
          <w:bCs/>
          <w:color w:val="000000" w:themeColor="text1"/>
          <w:sz w:val="28"/>
          <w:szCs w:val="28"/>
        </w:rPr>
        <w:t xml:space="preserve">28 CCR </w:t>
      </w:r>
      <w:r w:rsidR="14258188" w:rsidRPr="00367300">
        <w:rPr>
          <w:rFonts w:ascii="Arial" w:eastAsia="Arial" w:hAnsi="Arial" w:cs="Arial"/>
          <w:b/>
          <w:bCs/>
          <w:color w:val="000000" w:themeColor="text1"/>
          <w:sz w:val="28"/>
          <w:szCs w:val="28"/>
        </w:rPr>
        <w:t>§ 1300.67.2.2 Timely Access to Non-Emergency Health Care Services and Annual Timely Access and Network Reporting Requirements</w:t>
      </w:r>
      <w:r w:rsidR="007B488B">
        <w:rPr>
          <w:rFonts w:ascii="Arial" w:eastAsia="Arial" w:hAnsi="Arial" w:cs="Arial"/>
          <w:b/>
          <w:bCs/>
          <w:color w:val="000000" w:themeColor="text1"/>
          <w:sz w:val="28"/>
          <w:szCs w:val="28"/>
        </w:rPr>
        <w:t>:</w:t>
      </w:r>
    </w:p>
    <w:p w14:paraId="456B5FFA" w14:textId="3508330E" w:rsidR="7ECC366C" w:rsidRPr="00B75C97" w:rsidRDefault="27081870" w:rsidP="00B9621F">
      <w:pPr>
        <w:pStyle w:val="paragraph"/>
        <w:spacing w:before="240" w:beforeAutospacing="0" w:after="240" w:afterAutospacing="0"/>
        <w:rPr>
          <w:rStyle w:val="normaltextrun"/>
          <w:rFonts w:ascii="Arial" w:hAnsi="Arial" w:cs="Arial"/>
          <w:color w:val="000000" w:themeColor="text1"/>
        </w:rPr>
      </w:pPr>
      <w:r w:rsidRPr="00B75C97">
        <w:rPr>
          <w:rStyle w:val="normaltextrun"/>
          <w:rFonts w:ascii="Arial" w:hAnsi="Arial" w:cs="Arial"/>
          <w:color w:val="000000" w:themeColor="text1"/>
        </w:rPr>
        <w:t>[</w:t>
      </w:r>
      <w:r w:rsidR="002F5C89" w:rsidRPr="00B75C97">
        <w:rPr>
          <w:rStyle w:val="normaltextrun"/>
          <w:rFonts w:ascii="Arial" w:hAnsi="Arial" w:cs="Arial"/>
          <w:color w:val="000000" w:themeColor="text1"/>
        </w:rPr>
        <w:t>…</w:t>
      </w:r>
      <w:r w:rsidR="3C5C2C07" w:rsidRPr="00B75C97">
        <w:rPr>
          <w:rStyle w:val="normaltextrun"/>
          <w:rFonts w:ascii="Arial" w:hAnsi="Arial" w:cs="Arial"/>
          <w:color w:val="000000" w:themeColor="text1"/>
        </w:rPr>
        <w:t>]</w:t>
      </w:r>
    </w:p>
    <w:p w14:paraId="2FC4F061" w14:textId="6A7950E8" w:rsidR="294375FC" w:rsidRPr="00B75C97" w:rsidRDefault="0007410F" w:rsidP="00B9621F">
      <w:pPr>
        <w:pStyle w:val="paragraph"/>
        <w:spacing w:before="0" w:beforeAutospacing="0" w:after="0" w:afterAutospacing="0"/>
        <w:rPr>
          <w:rFonts w:ascii="Arial" w:hAnsi="Arial" w:cs="Arial"/>
        </w:rPr>
      </w:pPr>
      <w:r w:rsidRPr="00B75C97">
        <w:rPr>
          <w:rStyle w:val="normaltextrun"/>
          <w:rFonts w:ascii="Arial" w:hAnsi="Arial" w:cs="Arial"/>
          <w:color w:val="000000" w:themeColor="text1"/>
        </w:rPr>
        <w:t>(</w:t>
      </w:r>
      <w:r w:rsidR="00197A3A" w:rsidRPr="00B75C97">
        <w:rPr>
          <w:rStyle w:val="normaltextrun"/>
          <w:rFonts w:ascii="Arial" w:hAnsi="Arial" w:cs="Arial"/>
          <w:color w:val="000000" w:themeColor="text1"/>
        </w:rPr>
        <w:t>h)</w:t>
      </w:r>
      <w:r w:rsidR="006E165E" w:rsidRPr="00B75C97">
        <w:rPr>
          <w:rStyle w:val="normaltextrun"/>
          <w:rFonts w:ascii="Arial" w:hAnsi="Arial" w:cs="Arial"/>
          <w:color w:val="000000" w:themeColor="text1"/>
        </w:rPr>
        <w:t xml:space="preserve"> </w:t>
      </w:r>
      <w:r w:rsidR="006E165E" w:rsidRPr="00B75C97">
        <w:rPr>
          <w:rFonts w:ascii="Arial" w:hAnsi="Arial" w:cs="Arial"/>
        </w:rPr>
        <w:t>Filing, Implementation and Reporting Requirements.</w:t>
      </w:r>
    </w:p>
    <w:p w14:paraId="7DD1ABDC" w14:textId="1CACBCBD" w:rsidR="294375FC" w:rsidRPr="00B75C97" w:rsidRDefault="146CE7BB" w:rsidP="00B9621F">
      <w:pPr>
        <w:pStyle w:val="paragraph"/>
        <w:spacing w:before="240" w:beforeAutospacing="0" w:after="240" w:afterAutospacing="0"/>
        <w:rPr>
          <w:rFonts w:ascii="Arial" w:hAnsi="Arial" w:cs="Arial"/>
        </w:rPr>
      </w:pPr>
      <w:r w:rsidRPr="00B75C97">
        <w:rPr>
          <w:rFonts w:ascii="Arial" w:hAnsi="Arial" w:cs="Arial"/>
        </w:rPr>
        <w:t>[</w:t>
      </w:r>
      <w:r w:rsidR="002F5C89" w:rsidRPr="00B75C97">
        <w:rPr>
          <w:rFonts w:ascii="Arial" w:hAnsi="Arial" w:cs="Arial"/>
        </w:rPr>
        <w:t>…</w:t>
      </w:r>
      <w:r w:rsidR="4C099F1B" w:rsidRPr="00B75C97">
        <w:rPr>
          <w:rFonts w:ascii="Arial" w:hAnsi="Arial" w:cs="Arial"/>
        </w:rPr>
        <w:t>]</w:t>
      </w:r>
    </w:p>
    <w:p w14:paraId="7EF4961C" w14:textId="52F334E6" w:rsidR="294375FC" w:rsidRPr="00B75C97" w:rsidRDefault="006E165E" w:rsidP="00B9621F">
      <w:pPr>
        <w:pStyle w:val="paragraph"/>
        <w:spacing w:before="0" w:beforeAutospacing="0" w:after="0" w:afterAutospacing="0"/>
        <w:rPr>
          <w:rFonts w:ascii="Arial" w:hAnsi="Arial" w:cs="Arial"/>
        </w:rPr>
      </w:pPr>
      <w:r w:rsidRPr="00B75C97">
        <w:rPr>
          <w:rFonts w:ascii="Arial" w:hAnsi="Arial" w:cs="Arial"/>
        </w:rPr>
        <w:t xml:space="preserve">(6) </w:t>
      </w:r>
      <w:r w:rsidR="008D6C6C" w:rsidRPr="00B75C97">
        <w:rPr>
          <w:rFonts w:ascii="Arial" w:hAnsi="Arial" w:cs="Arial"/>
        </w:rPr>
        <w:t>Timely Access Compliance Report. A plan shall submit the items set forth in subsections (h)(6) and (h)(8) of this Rule, as part of its Timely Access Compliance Report for each applicable measurement year, as defined in b) (4)(A) of this Rule. Each item shall be submitted in accordance with the requirements set forth in the Timely Access and Annual Network Submission Instruction Manual. The following items shall be included in the plan’s Timely Access Compliance Report:</w:t>
      </w:r>
    </w:p>
    <w:p w14:paraId="2B5C32F3" w14:textId="5D1C0913" w:rsidR="294375FC" w:rsidRPr="00B75C97" w:rsidRDefault="2C8F59F2" w:rsidP="00B9621F">
      <w:pPr>
        <w:pStyle w:val="paragraph"/>
        <w:spacing w:before="240" w:beforeAutospacing="0" w:after="240" w:afterAutospacing="0"/>
        <w:rPr>
          <w:rStyle w:val="normaltextrun"/>
          <w:rFonts w:ascii="Arial" w:hAnsi="Arial" w:cs="Arial"/>
          <w:color w:val="000000" w:themeColor="text1"/>
        </w:rPr>
      </w:pPr>
      <w:r w:rsidRPr="00B75C97">
        <w:rPr>
          <w:rStyle w:val="normaltextrun"/>
          <w:rFonts w:ascii="Arial" w:hAnsi="Arial" w:cs="Arial"/>
          <w:color w:val="000000" w:themeColor="text1"/>
        </w:rPr>
        <w:t>[</w:t>
      </w:r>
      <w:r w:rsidR="002F5C89" w:rsidRPr="00B75C97">
        <w:rPr>
          <w:rStyle w:val="normaltextrun"/>
          <w:rFonts w:ascii="Arial" w:hAnsi="Arial" w:cs="Arial"/>
          <w:color w:val="000000" w:themeColor="text1"/>
        </w:rPr>
        <w:t>…</w:t>
      </w:r>
      <w:r w:rsidR="0847ABAF" w:rsidRPr="00B75C97">
        <w:rPr>
          <w:rStyle w:val="normaltextrun"/>
          <w:rFonts w:ascii="Arial" w:hAnsi="Arial" w:cs="Arial"/>
          <w:color w:val="000000" w:themeColor="text1"/>
        </w:rPr>
        <w:t>]</w:t>
      </w:r>
    </w:p>
    <w:p w14:paraId="55777594" w14:textId="5D372EC3" w:rsidR="00CB4C95" w:rsidRPr="001F74E0" w:rsidRDefault="00CB4C95" w:rsidP="00B9621F">
      <w:pPr>
        <w:pStyle w:val="paragraph"/>
        <w:spacing w:before="0" w:beforeAutospacing="0" w:after="0" w:afterAutospacing="0"/>
        <w:textAlignment w:val="baseline"/>
        <w:rPr>
          <w:rFonts w:ascii="Arial" w:hAnsi="Arial" w:cs="Arial"/>
        </w:rPr>
      </w:pPr>
      <w:r w:rsidRPr="00B75C97">
        <w:rPr>
          <w:rStyle w:val="normaltextrun"/>
          <w:rFonts w:ascii="Arial" w:hAnsi="Arial" w:cs="Arial"/>
          <w:color w:val="000000"/>
        </w:rPr>
        <w:t>C)</w:t>
      </w:r>
      <w:r w:rsidRPr="002C18FA">
        <w:rPr>
          <w:rStyle w:val="normaltextrun"/>
          <w:rFonts w:ascii="Arial" w:hAnsi="Arial" w:cs="Arial"/>
          <w:color w:val="C00000"/>
          <w:u w:val="single"/>
        </w:rPr>
        <w:t xml:space="preserve"> </w:t>
      </w:r>
      <w:r w:rsidR="004E7A3B" w:rsidRPr="001F74E0">
        <w:rPr>
          <w:rStyle w:val="normaltextrun"/>
          <w:rFonts w:ascii="Arial" w:hAnsi="Arial" w:cs="Arial"/>
          <w:u w:val="single"/>
        </w:rPr>
        <w:t xml:space="preserve">Non-Compliance Information and </w:t>
      </w:r>
      <w:r w:rsidR="00212D0A" w:rsidRPr="001F74E0">
        <w:rPr>
          <w:rStyle w:val="normaltextrun"/>
          <w:rFonts w:ascii="Arial" w:hAnsi="Arial" w:cs="Arial"/>
          <w:u w:val="single"/>
        </w:rPr>
        <w:t>Description of</w:t>
      </w:r>
      <w:r w:rsidR="004E7A3B" w:rsidRPr="001F74E0">
        <w:rPr>
          <w:rStyle w:val="normaltextrun"/>
          <w:rFonts w:ascii="Arial" w:hAnsi="Arial" w:cs="Arial"/>
          <w:u w:val="single"/>
        </w:rPr>
        <w:t xml:space="preserve"> Corrective Action</w:t>
      </w:r>
    </w:p>
    <w:p w14:paraId="62E68801" w14:textId="73CC0162" w:rsidR="00CB4C95" w:rsidRPr="008A1916" w:rsidRDefault="00CB4C95" w:rsidP="00B9621F">
      <w:pPr>
        <w:pStyle w:val="paragraph"/>
        <w:spacing w:before="0" w:beforeAutospacing="0" w:after="240" w:afterAutospacing="0"/>
        <w:textAlignment w:val="baseline"/>
        <w:rPr>
          <w:rFonts w:ascii="Arial" w:hAnsi="Arial" w:cs="Arial"/>
        </w:rPr>
      </w:pPr>
      <w:r w:rsidRPr="00B75C97">
        <w:rPr>
          <w:rStyle w:val="normaltextrun"/>
          <w:rFonts w:ascii="Arial" w:hAnsi="Arial" w:cs="Arial"/>
          <w:color w:val="000000"/>
        </w:rPr>
        <w:t>(</w:t>
      </w:r>
      <w:r w:rsidRPr="00B75C97">
        <w:rPr>
          <w:rStyle w:val="spellingerror"/>
          <w:rFonts w:ascii="Arial" w:hAnsi="Arial" w:cs="Arial"/>
          <w:color w:val="000000"/>
        </w:rPr>
        <w:t>i</w:t>
      </w:r>
      <w:r w:rsidRPr="00B75C97">
        <w:rPr>
          <w:rStyle w:val="normaltextrun"/>
          <w:rFonts w:ascii="Arial" w:hAnsi="Arial" w:cs="Arial"/>
          <w:color w:val="000000"/>
        </w:rPr>
        <w:t xml:space="preserve">) </w:t>
      </w:r>
      <w:r w:rsidR="00EC0908" w:rsidRPr="00680506">
        <w:rPr>
          <w:rStyle w:val="normaltextrun"/>
          <w:rFonts w:ascii="Arial" w:hAnsi="Arial" w:cs="Arial"/>
          <w:color w:val="000000"/>
        </w:rPr>
        <w:t>A plan shall provide</w:t>
      </w:r>
      <w:r w:rsidR="00EC0908" w:rsidRPr="00B75C97">
        <w:rPr>
          <w:rStyle w:val="normaltextrun"/>
          <w:rFonts w:ascii="Arial" w:hAnsi="Arial" w:cs="Arial"/>
          <w:color w:val="000000"/>
        </w:rPr>
        <w:t xml:space="preserve"> t</w:t>
      </w:r>
      <w:r w:rsidRPr="00B75C97">
        <w:rPr>
          <w:rStyle w:val="normaltextrun"/>
          <w:rFonts w:ascii="Arial" w:hAnsi="Arial" w:cs="Arial"/>
          <w:color w:val="000000"/>
        </w:rPr>
        <w:t xml:space="preserve">he Department issued filing number for the plan's </w:t>
      </w:r>
      <w:r w:rsidRPr="00B75C97">
        <w:rPr>
          <w:rStyle w:val="spellingerror"/>
          <w:rFonts w:ascii="Arial" w:hAnsi="Arial" w:cs="Arial"/>
          <w:color w:val="000000"/>
        </w:rPr>
        <w:t>efiling</w:t>
      </w:r>
      <w:r w:rsidRPr="00B75C97">
        <w:rPr>
          <w:rStyle w:val="normaltextrun"/>
          <w:rFonts w:ascii="Arial" w:hAnsi="Arial" w:cs="Arial"/>
          <w:color w:val="000000"/>
        </w:rPr>
        <w:t xml:space="preserve"> containing a description of the plan's procedure for identifying any incidents of non-compliance resulting in substantial harm to an enrollee, as defined in </w:t>
      </w:r>
      <w:r w:rsidR="00467811" w:rsidRPr="00B75C97">
        <w:rPr>
          <w:rStyle w:val="normaltextrun"/>
          <w:rFonts w:ascii="Arial" w:hAnsi="Arial" w:cs="Arial"/>
        </w:rPr>
        <w:t>Civil Code section 3428</w:t>
      </w:r>
      <w:r w:rsidRPr="00B75C97">
        <w:rPr>
          <w:rStyle w:val="normaltextrun"/>
          <w:rFonts w:ascii="Arial" w:hAnsi="Arial" w:cs="Arial"/>
          <w:color w:val="000000"/>
        </w:rPr>
        <w:t>, and patterns of non-compliance, as defined in subsection (b)(12) of this Rule. The policy and procedure shall include:</w:t>
      </w:r>
    </w:p>
    <w:p w14:paraId="3021EE73" w14:textId="3FF49B9A" w:rsidR="00CB4C95" w:rsidRPr="00B75C97" w:rsidRDefault="00CB4C95" w:rsidP="00B9621F">
      <w:pPr>
        <w:pStyle w:val="paragraph"/>
        <w:spacing w:before="0" w:beforeAutospacing="0" w:after="240" w:afterAutospacing="0"/>
        <w:textAlignment w:val="baseline"/>
        <w:rPr>
          <w:rStyle w:val="normaltextrun"/>
          <w:rFonts w:ascii="Arial" w:hAnsi="Arial" w:cs="Arial"/>
        </w:rPr>
      </w:pPr>
      <w:r w:rsidRPr="00B75C97">
        <w:rPr>
          <w:rStyle w:val="normaltextrun"/>
          <w:rFonts w:ascii="Arial" w:hAnsi="Arial" w:cs="Arial"/>
          <w:color w:val="000000"/>
        </w:rPr>
        <w:t xml:space="preserve">a. The plan's definition of an incident of non-compliance resulting in substantial harm to an enrollee, which at a minimum shall include the definition set forth </w:t>
      </w:r>
      <w:r w:rsidRPr="00B75C97">
        <w:rPr>
          <w:rStyle w:val="normaltextrun"/>
          <w:rFonts w:ascii="Arial" w:hAnsi="Arial" w:cs="Arial"/>
        </w:rPr>
        <w:t xml:space="preserve">in </w:t>
      </w:r>
      <w:hyperlink r:id="rId7" w:tgtFrame="_blank" w:history="1">
        <w:r w:rsidRPr="00B75C97">
          <w:rPr>
            <w:rStyle w:val="normaltextrun"/>
            <w:rFonts w:ascii="Arial" w:hAnsi="Arial" w:cs="Arial"/>
          </w:rPr>
          <w:t>Civil Code section 3428</w:t>
        </w:r>
      </w:hyperlink>
      <w:r w:rsidRPr="00B75C97">
        <w:rPr>
          <w:rStyle w:val="normaltextrun"/>
          <w:rFonts w:ascii="Arial" w:hAnsi="Arial" w:cs="Arial"/>
        </w:rPr>
        <w:t>;</w:t>
      </w:r>
    </w:p>
    <w:p w14:paraId="5359774A" w14:textId="40CE80CE" w:rsidR="00CB4C95" w:rsidRPr="007F5B08" w:rsidRDefault="00CB4C95" w:rsidP="00B9621F">
      <w:pPr>
        <w:pStyle w:val="paragraph"/>
        <w:spacing w:before="0" w:beforeAutospacing="0" w:after="120" w:afterAutospacing="0"/>
        <w:textAlignment w:val="baseline"/>
        <w:rPr>
          <w:rFonts w:ascii="Arial" w:hAnsi="Arial" w:cs="Arial"/>
        </w:rPr>
      </w:pPr>
      <w:r w:rsidRPr="00B75C97">
        <w:rPr>
          <w:rStyle w:val="normaltextrun"/>
          <w:rFonts w:ascii="Arial" w:hAnsi="Arial" w:cs="Arial"/>
          <w:color w:val="000000"/>
        </w:rPr>
        <w:t>b. The plan's definition of patterns of non-compliance, which at a minimum shall include the definitions set forth in subsection (b)(12) of this Rule; and</w:t>
      </w:r>
    </w:p>
    <w:p w14:paraId="6303CFBC" w14:textId="28A966DB" w:rsidR="00CB4C95" w:rsidRPr="007F5B08" w:rsidRDefault="00CB4C95" w:rsidP="00B9621F">
      <w:pPr>
        <w:pStyle w:val="paragraph"/>
        <w:spacing w:before="0" w:beforeAutospacing="0" w:after="240" w:afterAutospacing="0"/>
        <w:textAlignment w:val="baseline"/>
        <w:rPr>
          <w:rFonts w:ascii="Arial" w:hAnsi="Arial" w:cs="Arial"/>
        </w:rPr>
      </w:pPr>
      <w:r w:rsidRPr="00B75C97">
        <w:rPr>
          <w:rStyle w:val="normaltextrun"/>
          <w:rFonts w:ascii="Arial" w:hAnsi="Arial" w:cs="Arial"/>
          <w:color w:val="000000"/>
        </w:rPr>
        <w:t>c. The plan's monitoring mechanism and the sources of information or data the plan uses to identify any patterns of non-compliance and incidents of non-compliance resulting in substantial harm to an enrollee.</w:t>
      </w:r>
    </w:p>
    <w:p w14:paraId="66F474FB" w14:textId="745DF56C" w:rsidR="009C2C39" w:rsidRDefault="00CB4C95" w:rsidP="00B9621F">
      <w:pPr>
        <w:pStyle w:val="paragraph"/>
        <w:spacing w:before="0" w:beforeAutospacing="0" w:after="240" w:afterAutospacing="0"/>
        <w:textAlignment w:val="baseline"/>
        <w:rPr>
          <w:rStyle w:val="normaltextrun"/>
          <w:rFonts w:ascii="Arial" w:hAnsi="Arial" w:cs="Arial"/>
          <w:color w:val="000000"/>
        </w:rPr>
      </w:pPr>
      <w:r w:rsidRPr="00B75C97">
        <w:rPr>
          <w:rStyle w:val="normaltextrun"/>
          <w:rFonts w:ascii="Arial" w:hAnsi="Arial" w:cs="Arial"/>
          <w:color w:val="000000"/>
        </w:rPr>
        <w:t xml:space="preserve">(ii) </w:t>
      </w:r>
      <w:r w:rsidR="002E3660" w:rsidRPr="00680506">
        <w:rPr>
          <w:rStyle w:val="normaltextrun"/>
          <w:rFonts w:ascii="Arial" w:hAnsi="Arial" w:cs="Arial"/>
          <w:color w:val="000000"/>
        </w:rPr>
        <w:t>A plan shall include</w:t>
      </w:r>
      <w:r w:rsidR="002E3660" w:rsidRPr="00B75C97">
        <w:rPr>
          <w:rStyle w:val="normaltextrun"/>
          <w:rFonts w:ascii="Arial" w:hAnsi="Arial" w:cs="Arial"/>
          <w:color w:val="000000"/>
        </w:rPr>
        <w:t xml:space="preserve"> i</w:t>
      </w:r>
      <w:r w:rsidRPr="00B75C97">
        <w:rPr>
          <w:rStyle w:val="normaltextrun"/>
          <w:rFonts w:ascii="Arial" w:hAnsi="Arial" w:cs="Arial"/>
          <w:color w:val="000000"/>
        </w:rPr>
        <w:t>nformation describing whether the plan identified:</w:t>
      </w:r>
    </w:p>
    <w:p w14:paraId="7049AB5C" w14:textId="539D34EE" w:rsidR="00CB4C95" w:rsidRPr="001F74E0" w:rsidRDefault="00CB4C95" w:rsidP="00B9621F">
      <w:pPr>
        <w:pStyle w:val="paragraph"/>
        <w:spacing w:before="0" w:beforeAutospacing="0" w:after="240" w:afterAutospacing="0"/>
        <w:textAlignment w:val="baseline"/>
        <w:rPr>
          <w:rFonts w:ascii="Arial" w:hAnsi="Arial" w:cs="Arial"/>
        </w:rPr>
      </w:pPr>
      <w:r w:rsidRPr="00B75C97">
        <w:rPr>
          <w:rStyle w:val="normaltextrun"/>
          <w:rFonts w:ascii="Arial" w:hAnsi="Arial" w:cs="Arial"/>
          <w:color w:val="000000"/>
        </w:rPr>
        <w:t xml:space="preserve">a. Any incidents of non-compliance resulting in substantial harm to an enrollee that occurred during the measurement </w:t>
      </w:r>
      <w:r w:rsidRPr="00B75C97">
        <w:rPr>
          <w:rStyle w:val="contextualspellingandgrammarerror"/>
          <w:rFonts w:ascii="Arial" w:hAnsi="Arial" w:cs="Arial"/>
          <w:color w:val="000000"/>
        </w:rPr>
        <w:t>year;</w:t>
      </w:r>
      <w:r w:rsidR="004E7A3B" w:rsidRPr="00B75C97">
        <w:rPr>
          <w:rStyle w:val="contextualspellingandgrammarerror"/>
          <w:rFonts w:ascii="Arial" w:hAnsi="Arial" w:cs="Arial"/>
          <w:color w:val="000000"/>
        </w:rPr>
        <w:t xml:space="preserve"> </w:t>
      </w:r>
    </w:p>
    <w:p w14:paraId="0D56901F" w14:textId="3D9FDB9D" w:rsidR="00CB4C95" w:rsidRPr="001F74E0" w:rsidRDefault="00CB4C95" w:rsidP="00B9621F">
      <w:pPr>
        <w:pStyle w:val="paragraph"/>
        <w:spacing w:before="0" w:beforeAutospacing="0" w:after="240" w:afterAutospacing="0"/>
        <w:textAlignment w:val="baseline"/>
        <w:rPr>
          <w:rFonts w:ascii="Arial" w:hAnsi="Arial" w:cs="Arial"/>
        </w:rPr>
      </w:pPr>
      <w:r w:rsidRPr="001F74E0">
        <w:rPr>
          <w:rStyle w:val="normaltextrun"/>
          <w:rFonts w:ascii="Arial" w:hAnsi="Arial" w:cs="Arial"/>
        </w:rPr>
        <w:t xml:space="preserve">b. Any patterns of non-compliance that occurred during the measurement </w:t>
      </w:r>
      <w:r w:rsidRPr="001F74E0">
        <w:rPr>
          <w:rStyle w:val="contextualspellingandgrammarerror"/>
          <w:rFonts w:ascii="Arial" w:hAnsi="Arial" w:cs="Arial"/>
        </w:rPr>
        <w:t>year</w:t>
      </w:r>
      <w:r w:rsidR="00105CA7">
        <w:rPr>
          <w:rStyle w:val="contextualspellingandgrammarerror"/>
          <w:rFonts w:ascii="Arial" w:hAnsi="Arial" w:cs="Arial"/>
        </w:rPr>
        <w:t>;</w:t>
      </w:r>
      <w:r w:rsidR="0091772A" w:rsidRPr="001F74E0">
        <w:rPr>
          <w:rStyle w:val="contextualspellingandgrammarerror"/>
          <w:rFonts w:ascii="Arial" w:hAnsi="Arial" w:cs="Arial"/>
        </w:rPr>
        <w:t xml:space="preserve"> </w:t>
      </w:r>
      <w:r w:rsidR="0091772A" w:rsidRPr="001F74E0">
        <w:rPr>
          <w:rStyle w:val="normaltextrun"/>
          <w:rFonts w:ascii="Arial" w:hAnsi="Arial" w:cs="Arial"/>
          <w:u w:val="single"/>
        </w:rPr>
        <w:t>and</w:t>
      </w:r>
    </w:p>
    <w:p w14:paraId="28815B84" w14:textId="0A2F1B99" w:rsidR="00CB4C95" w:rsidRPr="001F74E0" w:rsidRDefault="00A70381" w:rsidP="00B9621F">
      <w:pPr>
        <w:pStyle w:val="paragraph"/>
        <w:spacing w:before="0" w:beforeAutospacing="0" w:after="0" w:afterAutospacing="0"/>
        <w:textAlignment w:val="baseline"/>
        <w:rPr>
          <w:rStyle w:val="normaltextrun"/>
          <w:u w:val="single"/>
        </w:rPr>
      </w:pPr>
      <w:r w:rsidRPr="001F74E0">
        <w:rPr>
          <w:rStyle w:val="normaltextrun"/>
          <w:rFonts w:ascii="Arial" w:hAnsi="Arial" w:cs="Arial"/>
          <w:u w:val="single"/>
        </w:rPr>
        <w:t xml:space="preserve">c. Any other evaluation or information regarding compliance that is required to be reported, including the requirements set forth in sections III.D and III.H. of the Timely Access Submission Manual and paragraphs 2, 67, 77, 78 and 85 of the </w:t>
      </w:r>
      <w:r w:rsidR="00BC643F" w:rsidRPr="001F74E0">
        <w:rPr>
          <w:rStyle w:val="normaltextrun"/>
          <w:rFonts w:ascii="Arial" w:hAnsi="Arial" w:cs="Arial"/>
          <w:u w:val="single"/>
        </w:rPr>
        <w:t>Provider Appointment Availability Survey Manual.</w:t>
      </w:r>
    </w:p>
    <w:p w14:paraId="7C725E0B" w14:textId="304C1ECC" w:rsidR="00CB4C95" w:rsidRPr="00FF57D0" w:rsidRDefault="00CB4C95" w:rsidP="00B9621F">
      <w:pPr>
        <w:pStyle w:val="paragraph"/>
        <w:spacing w:before="0" w:beforeAutospacing="0" w:after="240" w:afterAutospacing="0"/>
        <w:textAlignment w:val="baseline"/>
        <w:rPr>
          <w:rFonts w:ascii="Arial" w:hAnsi="Arial" w:cs="Arial"/>
        </w:rPr>
      </w:pPr>
      <w:r w:rsidRPr="00B75C97">
        <w:rPr>
          <w:rStyle w:val="normaltextrun"/>
          <w:rFonts w:ascii="Arial" w:hAnsi="Arial" w:cs="Arial"/>
          <w:color w:val="000000"/>
        </w:rPr>
        <w:lastRenderedPageBreak/>
        <w:t>(iii) A description of the identified non-compliance, set forth in subsection (h)(6)(C)(ii) of this Rule, and the plan's responsive investigation and determination.</w:t>
      </w:r>
    </w:p>
    <w:p w14:paraId="56619FF2" w14:textId="3515F61F" w:rsidR="00461EAF" w:rsidRPr="00B75C97" w:rsidRDefault="00CB4C95" w:rsidP="00B9621F">
      <w:pPr>
        <w:pStyle w:val="paragraph"/>
        <w:spacing w:before="0" w:beforeAutospacing="0" w:after="240" w:afterAutospacing="0"/>
        <w:textAlignment w:val="baseline"/>
        <w:rPr>
          <w:rStyle w:val="normaltextrun"/>
          <w:rFonts w:ascii="Arial" w:hAnsi="Arial" w:cs="Arial"/>
          <w:color w:val="0078D4"/>
          <w:u w:val="single"/>
        </w:rPr>
      </w:pPr>
      <w:r w:rsidRPr="00B75C97">
        <w:rPr>
          <w:rStyle w:val="normaltextrun"/>
          <w:rFonts w:ascii="Arial" w:hAnsi="Arial" w:cs="Arial"/>
          <w:color w:val="000000" w:themeColor="text1"/>
        </w:rPr>
        <w:t>(iv) A corrective action plan, which shall include the following information with respect to each identified incident of non-compliance resulting in substantial harm to an enrollee</w:t>
      </w:r>
      <w:r w:rsidR="00C46AD2" w:rsidRPr="00B75C97">
        <w:rPr>
          <w:rStyle w:val="normaltextrun"/>
          <w:rFonts w:ascii="Arial" w:hAnsi="Arial" w:cs="Arial"/>
          <w:color w:val="000000" w:themeColor="text1"/>
        </w:rPr>
        <w:t>,</w:t>
      </w:r>
      <w:r w:rsidR="00254CDE" w:rsidRPr="00B75C97">
        <w:rPr>
          <w:rStyle w:val="normaltextrun"/>
          <w:rFonts w:ascii="Arial" w:hAnsi="Arial" w:cs="Arial"/>
          <w:color w:val="000000" w:themeColor="text1"/>
        </w:rPr>
        <w:t xml:space="preserve"> </w:t>
      </w:r>
      <w:r w:rsidRPr="00B75C97">
        <w:rPr>
          <w:rStyle w:val="normaltextrun"/>
          <w:rFonts w:ascii="Arial" w:hAnsi="Arial" w:cs="Arial"/>
          <w:color w:val="000000" w:themeColor="text1"/>
        </w:rPr>
        <w:t>pattern of non-complianc</w:t>
      </w:r>
      <w:r w:rsidR="00C46AD2" w:rsidRPr="00B75C97">
        <w:rPr>
          <w:rStyle w:val="normaltextrun"/>
          <w:rFonts w:ascii="Arial" w:hAnsi="Arial" w:cs="Arial"/>
          <w:color w:val="000000" w:themeColor="text1"/>
        </w:rPr>
        <w:t xml:space="preserve">e, </w:t>
      </w:r>
      <w:r w:rsidR="00C46AD2" w:rsidRPr="001F74E0">
        <w:rPr>
          <w:rStyle w:val="normaltextrun"/>
          <w:rFonts w:ascii="Arial" w:hAnsi="Arial" w:cs="Arial"/>
        </w:rPr>
        <w:t xml:space="preserve">and </w:t>
      </w:r>
      <w:r w:rsidR="004F1923" w:rsidRPr="001F74E0">
        <w:rPr>
          <w:rStyle w:val="normaltextrun"/>
          <w:rFonts w:ascii="Arial" w:hAnsi="Arial" w:cs="Arial"/>
          <w:u w:val="single"/>
        </w:rPr>
        <w:t xml:space="preserve">other </w:t>
      </w:r>
      <w:r w:rsidR="00461EAF" w:rsidRPr="001F74E0">
        <w:rPr>
          <w:rStyle w:val="normaltextrun"/>
          <w:rFonts w:ascii="Arial" w:hAnsi="Arial" w:cs="Arial"/>
          <w:u w:val="single"/>
        </w:rPr>
        <w:t xml:space="preserve">compliance </w:t>
      </w:r>
      <w:r w:rsidR="00D7455F" w:rsidRPr="001F74E0">
        <w:rPr>
          <w:rStyle w:val="normaltextrun"/>
          <w:rFonts w:ascii="Arial" w:hAnsi="Arial" w:cs="Arial"/>
          <w:u w:val="single"/>
        </w:rPr>
        <w:t>concerns</w:t>
      </w:r>
      <w:r w:rsidRPr="001F74E0">
        <w:rPr>
          <w:rStyle w:val="normaltextrun"/>
          <w:rFonts w:ascii="Arial" w:hAnsi="Arial" w:cs="Arial"/>
          <w:u w:val="single"/>
        </w:rPr>
        <w:t xml:space="preserve"> </w:t>
      </w:r>
      <w:r w:rsidR="00461EAF" w:rsidRPr="001F74E0">
        <w:rPr>
          <w:rStyle w:val="normaltextrun"/>
          <w:rFonts w:ascii="Arial" w:hAnsi="Arial" w:cs="Arial"/>
          <w:u w:val="single"/>
        </w:rPr>
        <w:t>required to be reported pursuant to subsection (h)(6)(ii) of this Rule:</w:t>
      </w:r>
    </w:p>
    <w:p w14:paraId="6202DA01" w14:textId="5791CE48" w:rsidR="00CB4C95" w:rsidRPr="005C38BB" w:rsidRDefault="00CB4C95" w:rsidP="00B9621F">
      <w:pPr>
        <w:pStyle w:val="paragraph"/>
        <w:spacing w:before="0" w:beforeAutospacing="0" w:after="240" w:afterAutospacing="0"/>
        <w:textAlignment w:val="baseline"/>
        <w:rPr>
          <w:rFonts w:ascii="Arial" w:hAnsi="Arial" w:cs="Arial"/>
        </w:rPr>
      </w:pPr>
      <w:r w:rsidRPr="00B75C97">
        <w:rPr>
          <w:rStyle w:val="normaltextrun"/>
          <w:rFonts w:ascii="Arial" w:hAnsi="Arial" w:cs="Arial"/>
          <w:color w:val="000000"/>
        </w:rPr>
        <w:t>a. The steps the plan has taken or intends to take with respect to each issue of non-compliance in order to address the non-compliance and to bring its network into compliance with the Knox-Keene Act; and</w:t>
      </w:r>
    </w:p>
    <w:p w14:paraId="16A09BEF" w14:textId="77777777" w:rsidR="00A87C28" w:rsidRPr="00B75C97" w:rsidRDefault="00CB4C95" w:rsidP="00B9621F">
      <w:pPr>
        <w:pStyle w:val="paragraph"/>
        <w:spacing w:before="0" w:beforeAutospacing="0" w:after="0" w:afterAutospacing="0"/>
        <w:textAlignment w:val="baseline"/>
        <w:rPr>
          <w:rStyle w:val="normaltextrun"/>
          <w:rFonts w:ascii="Arial" w:hAnsi="Arial" w:cs="Arial"/>
          <w:color w:val="000000"/>
        </w:rPr>
      </w:pPr>
      <w:r w:rsidRPr="00B75C97">
        <w:rPr>
          <w:rStyle w:val="normaltextrun"/>
          <w:rFonts w:ascii="Arial" w:hAnsi="Arial" w:cs="Arial"/>
          <w:color w:val="000000"/>
        </w:rPr>
        <w:t>b. Any follow-up actions the plan has taken or intends to take to ensure compliance with the Knox-Keene Act</w:t>
      </w:r>
      <w:r w:rsidR="00C0587F" w:rsidRPr="00B75C97">
        <w:rPr>
          <w:rStyle w:val="normaltextrun"/>
          <w:rFonts w:ascii="Arial" w:hAnsi="Arial" w:cs="Arial"/>
          <w:color w:val="000000"/>
        </w:rPr>
        <w:t xml:space="preserve"> </w:t>
      </w:r>
      <w:r w:rsidR="00C0587F" w:rsidRPr="001F74E0">
        <w:rPr>
          <w:rStyle w:val="normaltextrun"/>
          <w:rFonts w:ascii="Arial" w:hAnsi="Arial" w:cs="Arial"/>
          <w:u w:val="single"/>
        </w:rPr>
        <w:t>and the plan’s timeframe for completion of investigation</w:t>
      </w:r>
      <w:r w:rsidR="00B64271" w:rsidRPr="001F74E0">
        <w:rPr>
          <w:rStyle w:val="normaltextrun"/>
          <w:rFonts w:ascii="Arial" w:hAnsi="Arial" w:cs="Arial"/>
          <w:u w:val="single"/>
        </w:rPr>
        <w:t>, development of corrective action, implementation of corrective action,</w:t>
      </w:r>
      <w:r w:rsidR="00AB04AF" w:rsidRPr="001F74E0">
        <w:rPr>
          <w:rStyle w:val="normaltextrun"/>
          <w:rFonts w:ascii="Arial" w:hAnsi="Arial" w:cs="Arial"/>
          <w:u w:val="single"/>
        </w:rPr>
        <w:t xml:space="preserve"> follow-up actions,</w:t>
      </w:r>
      <w:r w:rsidR="00B64271" w:rsidRPr="001F74E0">
        <w:rPr>
          <w:rStyle w:val="normaltextrun"/>
          <w:rFonts w:ascii="Arial" w:hAnsi="Arial" w:cs="Arial"/>
          <w:u w:val="single"/>
        </w:rPr>
        <w:t xml:space="preserve"> and other </w:t>
      </w:r>
      <w:r w:rsidR="00287F9A" w:rsidRPr="001F74E0">
        <w:rPr>
          <w:rStyle w:val="normaltextrun"/>
          <w:rFonts w:ascii="Arial" w:hAnsi="Arial" w:cs="Arial"/>
          <w:u w:val="single"/>
        </w:rPr>
        <w:t>requirements as outlined in</w:t>
      </w:r>
      <w:r w:rsidR="00C0587F" w:rsidRPr="001F74E0">
        <w:rPr>
          <w:rStyle w:val="normaltextrun"/>
          <w:rFonts w:ascii="Arial" w:hAnsi="Arial" w:cs="Arial"/>
          <w:u w:val="single"/>
        </w:rPr>
        <w:t xml:space="preserve"> subsection (h)(6)(C)(ii)-(iv) of this Rule</w:t>
      </w:r>
      <w:r w:rsidRPr="001F74E0">
        <w:rPr>
          <w:rStyle w:val="normaltextrun"/>
          <w:rFonts w:ascii="Arial" w:hAnsi="Arial" w:cs="Arial"/>
        </w:rPr>
        <w:t>.</w:t>
      </w:r>
    </w:p>
    <w:p w14:paraId="3792BD15" w14:textId="77777777" w:rsidR="005C38BB" w:rsidRDefault="00CB4C95" w:rsidP="00B9621F">
      <w:pPr>
        <w:pStyle w:val="paragraph"/>
        <w:spacing w:before="240" w:beforeAutospacing="0" w:after="0" w:afterAutospacing="0"/>
        <w:textAlignment w:val="baseline"/>
        <w:rPr>
          <w:rStyle w:val="normaltextrun"/>
          <w:rFonts w:ascii="Arial" w:hAnsi="Arial" w:cs="Arial"/>
          <w:color w:val="000000"/>
        </w:rPr>
      </w:pPr>
      <w:r w:rsidRPr="00B75C97">
        <w:rPr>
          <w:rStyle w:val="normaltextrun"/>
          <w:rFonts w:ascii="Arial" w:hAnsi="Arial" w:cs="Arial"/>
          <w:color w:val="000000"/>
        </w:rPr>
        <w:t>(v) If the plan did not submit the information set forth in subsection (h)(6)(C)(ii)-(iv) of this Rule in a prior reporting year, the plan shall include the omitted information in the current reporting year.</w:t>
      </w:r>
    </w:p>
    <w:p w14:paraId="683286FE" w14:textId="77777777" w:rsidR="005C38BB" w:rsidRDefault="00CB4C95" w:rsidP="00B9621F">
      <w:pPr>
        <w:pStyle w:val="paragraph"/>
        <w:spacing w:before="240" w:beforeAutospacing="0" w:after="0" w:afterAutospacing="0"/>
        <w:textAlignment w:val="baseline"/>
        <w:rPr>
          <w:rStyle w:val="eop"/>
          <w:rFonts w:ascii="Arial" w:hAnsi="Arial" w:cs="Arial"/>
          <w:color w:val="000000"/>
        </w:rPr>
      </w:pPr>
      <w:r w:rsidRPr="00B75C97">
        <w:rPr>
          <w:rStyle w:val="normaltextrun"/>
          <w:rFonts w:ascii="Arial" w:hAnsi="Arial" w:cs="Arial"/>
          <w:color w:val="000000"/>
        </w:rPr>
        <w:t>(D) The Department issued filing number containing the plan's policies and procedures used for verifying network providers' advanced access programs, and a list of all provider groups and network providers utilizing advanced access appointment scheduling.</w:t>
      </w:r>
    </w:p>
    <w:p w14:paraId="6DDAC0FC" w14:textId="77777777" w:rsidR="005C38BB" w:rsidRDefault="00CB4C95" w:rsidP="00B9621F">
      <w:pPr>
        <w:pStyle w:val="paragraph"/>
        <w:spacing w:before="240" w:beforeAutospacing="0" w:after="0" w:afterAutospacing="0"/>
        <w:textAlignment w:val="baseline"/>
        <w:rPr>
          <w:rStyle w:val="eop"/>
          <w:rFonts w:ascii="Arial" w:hAnsi="Arial" w:cs="Arial"/>
          <w:color w:val="000000"/>
        </w:rPr>
      </w:pPr>
      <w:r w:rsidRPr="00B75C97">
        <w:rPr>
          <w:rStyle w:val="normaltextrun"/>
          <w:rFonts w:ascii="Arial" w:hAnsi="Arial" w:cs="Arial"/>
          <w:color w:val="000000"/>
        </w:rPr>
        <w:t>(E) The Department issued filing number containing a description of the implementation and use of triage, telemedicine, including the applicable telehealth modalities, and health information technology used by the plan and its network providers to provide timely access to care, as applicable.</w:t>
      </w:r>
    </w:p>
    <w:p w14:paraId="53411D8D" w14:textId="1D58AC68" w:rsidR="008F4DBE" w:rsidRPr="005C38BB" w:rsidRDefault="00CB4C95" w:rsidP="00B9621F">
      <w:pPr>
        <w:pStyle w:val="paragraph"/>
        <w:spacing w:before="240" w:beforeAutospacing="0" w:after="0" w:afterAutospacing="0"/>
        <w:textAlignment w:val="baseline"/>
        <w:rPr>
          <w:rFonts w:ascii="Arial" w:hAnsi="Arial" w:cs="Arial"/>
        </w:rPr>
      </w:pPr>
      <w:r w:rsidRPr="00B75C97">
        <w:rPr>
          <w:rStyle w:val="normaltextrun"/>
          <w:rFonts w:ascii="Arial" w:hAnsi="Arial" w:cs="Arial"/>
          <w:color w:val="000000"/>
        </w:rPr>
        <w:t>(F) The Department issued filing number containing the plan's survey questions, survey methodology, and policies and procedures for administering and evaluating the results of the Enrollee Experience Survey and the Provider Satisfaction Survey. The plan shall include the results of the most recent annual Enrollee Experience Survey and Provider Satisfaction Survey, and a comparison with the results of the prior year's Enrollee Experience Survey and Provider Satisfaction Survey, including a discussion of the relative change in survey results.</w:t>
      </w:r>
    </w:p>
    <w:sectPr w:rsidR="008F4DBE" w:rsidRPr="005C38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A7A6" w14:textId="77777777" w:rsidR="00992912" w:rsidRDefault="00992912" w:rsidP="0030611D">
      <w:pPr>
        <w:spacing w:after="0" w:line="240" w:lineRule="auto"/>
      </w:pPr>
      <w:r>
        <w:separator/>
      </w:r>
    </w:p>
  </w:endnote>
  <w:endnote w:type="continuationSeparator" w:id="0">
    <w:p w14:paraId="475FF854" w14:textId="77777777" w:rsidR="00992912" w:rsidRDefault="00992912" w:rsidP="0030611D">
      <w:pPr>
        <w:spacing w:after="0" w:line="240" w:lineRule="auto"/>
      </w:pPr>
      <w:r>
        <w:continuationSeparator/>
      </w:r>
    </w:p>
  </w:endnote>
  <w:endnote w:type="continuationNotice" w:id="1">
    <w:p w14:paraId="29245D4E" w14:textId="77777777" w:rsidR="00992912" w:rsidRDefault="00992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494F" w14:textId="77777777" w:rsidR="00992912" w:rsidRDefault="00992912" w:rsidP="0030611D">
      <w:pPr>
        <w:spacing w:after="0" w:line="240" w:lineRule="auto"/>
      </w:pPr>
      <w:r>
        <w:separator/>
      </w:r>
    </w:p>
  </w:footnote>
  <w:footnote w:type="continuationSeparator" w:id="0">
    <w:p w14:paraId="10129953" w14:textId="77777777" w:rsidR="00992912" w:rsidRDefault="00992912" w:rsidP="0030611D">
      <w:pPr>
        <w:spacing w:after="0" w:line="240" w:lineRule="auto"/>
      </w:pPr>
      <w:r>
        <w:continuationSeparator/>
      </w:r>
    </w:p>
  </w:footnote>
  <w:footnote w:type="continuationNotice" w:id="1">
    <w:p w14:paraId="2EA32EB0" w14:textId="77777777" w:rsidR="00992912" w:rsidRDefault="00992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656D" w14:textId="77777777" w:rsidR="00692691" w:rsidRPr="00692691" w:rsidRDefault="00692691" w:rsidP="00692691">
    <w:pPr>
      <w:tabs>
        <w:tab w:val="center" w:pos="4680"/>
        <w:tab w:val="right" w:pos="9360"/>
      </w:tabs>
      <w:spacing w:after="0" w:line="240" w:lineRule="auto"/>
      <w:jc w:val="center"/>
      <w:rPr>
        <w:rFonts w:ascii="Arial" w:hAnsi="Arial" w:cs="Arial"/>
        <w:color w:val="1C4F9D"/>
        <w:spacing w:val="-2"/>
        <w:sz w:val="24"/>
        <w:szCs w:val="24"/>
      </w:rPr>
    </w:pPr>
    <w:r w:rsidRPr="00692691">
      <w:rPr>
        <w:rFonts w:ascii="Arial" w:hAnsi="Arial" w:cs="Arial"/>
        <w:color w:val="1C4F9D"/>
        <w:spacing w:val="-2"/>
        <w:sz w:val="24"/>
        <w:szCs w:val="24"/>
      </w:rPr>
      <w:t>Amendments to 28 CCR § 1300.67.2.2(h) </w:t>
    </w:r>
  </w:p>
  <w:p w14:paraId="0460ACDA" w14:textId="5F8F2FB4" w:rsidR="005D1F19" w:rsidRPr="005D1F19" w:rsidRDefault="005D1F19" w:rsidP="005D1F19">
    <w:pPr>
      <w:tabs>
        <w:tab w:val="center" w:pos="4680"/>
        <w:tab w:val="right" w:pos="9360"/>
      </w:tabs>
      <w:spacing w:after="240" w:line="240" w:lineRule="auto"/>
      <w:jc w:val="center"/>
      <w:rPr>
        <w:rFonts w:ascii="Arial" w:hAnsi="Arial" w:cs="Arial"/>
        <w:color w:val="1C4F9D"/>
        <w:spacing w:val="-2"/>
        <w:sz w:val="24"/>
        <w:szCs w:val="24"/>
      </w:rPr>
    </w:pPr>
    <w:r>
      <w:rPr>
        <w:rFonts w:ascii="Arial" w:hAnsi="Arial" w:cs="Arial"/>
        <w:color w:val="1C4F9D"/>
        <w:spacing w:val="-2"/>
        <w:sz w:val="24"/>
        <w:szCs w:val="24"/>
      </w:rPr>
      <w:t xml:space="preserve">Issue Date: December </w:t>
    </w:r>
    <w:r w:rsidR="00E17097">
      <w:rPr>
        <w:rFonts w:ascii="Arial" w:hAnsi="Arial" w:cs="Arial"/>
        <w:color w:val="1C4F9D"/>
        <w:spacing w:val="-2"/>
        <w:sz w:val="24"/>
        <w:szCs w:val="24"/>
      </w:rPr>
      <w:t>22</w:t>
    </w:r>
    <w:r>
      <w:rPr>
        <w:rFonts w:ascii="Arial" w:hAnsi="Arial" w:cs="Arial"/>
        <w:color w:val="1C4F9D"/>
        <w:spacing w:val="-2"/>
        <w:sz w:val="24"/>
        <w:szCs w:val="24"/>
      </w:rP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lNFbt7Mf8r3FQVvu1hDwwnmV707PGAgFSRVjSNucxrfytqBbzNza0avkdkAeZNhRx6GphIwh/Sl2jTVZyHDkhg==" w:salt="PGSqORvP1iq+WRLfuhz5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95"/>
    <w:rsid w:val="00005B6A"/>
    <w:rsid w:val="000230C6"/>
    <w:rsid w:val="000525D2"/>
    <w:rsid w:val="0007410F"/>
    <w:rsid w:val="000A5F71"/>
    <w:rsid w:val="000D4A88"/>
    <w:rsid w:val="000D6CCD"/>
    <w:rsid w:val="000E6C2A"/>
    <w:rsid w:val="00105CA7"/>
    <w:rsid w:val="0015692A"/>
    <w:rsid w:val="00183EB6"/>
    <w:rsid w:val="00197A3A"/>
    <w:rsid w:val="001A1FDC"/>
    <w:rsid w:val="001F74E0"/>
    <w:rsid w:val="002000CD"/>
    <w:rsid w:val="00210460"/>
    <w:rsid w:val="00212D0A"/>
    <w:rsid w:val="00254299"/>
    <w:rsid w:val="00254CDE"/>
    <w:rsid w:val="00287F9A"/>
    <w:rsid w:val="002C18FA"/>
    <w:rsid w:val="002E3660"/>
    <w:rsid w:val="002F5C89"/>
    <w:rsid w:val="00300C9C"/>
    <w:rsid w:val="0030611D"/>
    <w:rsid w:val="00312776"/>
    <w:rsid w:val="00313C9B"/>
    <w:rsid w:val="00367300"/>
    <w:rsid w:val="003674FD"/>
    <w:rsid w:val="00387442"/>
    <w:rsid w:val="00397479"/>
    <w:rsid w:val="003B2112"/>
    <w:rsid w:val="00413A30"/>
    <w:rsid w:val="0044027C"/>
    <w:rsid w:val="00461EAF"/>
    <w:rsid w:val="00467811"/>
    <w:rsid w:val="004A02A0"/>
    <w:rsid w:val="004A33D6"/>
    <w:rsid w:val="004B39E2"/>
    <w:rsid w:val="004E7A3B"/>
    <w:rsid w:val="004F1923"/>
    <w:rsid w:val="004F7DE8"/>
    <w:rsid w:val="005525D0"/>
    <w:rsid w:val="005700D0"/>
    <w:rsid w:val="005C38BB"/>
    <w:rsid w:val="005D1F19"/>
    <w:rsid w:val="00650605"/>
    <w:rsid w:val="0067262E"/>
    <w:rsid w:val="00680506"/>
    <w:rsid w:val="006879BF"/>
    <w:rsid w:val="00692691"/>
    <w:rsid w:val="0069326B"/>
    <w:rsid w:val="006B2E14"/>
    <w:rsid w:val="006B2E23"/>
    <w:rsid w:val="006C2A06"/>
    <w:rsid w:val="006D4D15"/>
    <w:rsid w:val="006E165E"/>
    <w:rsid w:val="006F15DF"/>
    <w:rsid w:val="00753D59"/>
    <w:rsid w:val="007B488B"/>
    <w:rsid w:val="007F0D3A"/>
    <w:rsid w:val="007F1D2B"/>
    <w:rsid w:val="007F5B08"/>
    <w:rsid w:val="0089299B"/>
    <w:rsid w:val="008A1916"/>
    <w:rsid w:val="008D6C6C"/>
    <w:rsid w:val="008F4DBC"/>
    <w:rsid w:val="008F4DBE"/>
    <w:rsid w:val="0091772A"/>
    <w:rsid w:val="0092143E"/>
    <w:rsid w:val="009246D5"/>
    <w:rsid w:val="00956A62"/>
    <w:rsid w:val="00992912"/>
    <w:rsid w:val="009C2C39"/>
    <w:rsid w:val="009E3D57"/>
    <w:rsid w:val="009F42A4"/>
    <w:rsid w:val="00A70381"/>
    <w:rsid w:val="00A87C28"/>
    <w:rsid w:val="00A92E37"/>
    <w:rsid w:val="00AB04AF"/>
    <w:rsid w:val="00AE5135"/>
    <w:rsid w:val="00B108B5"/>
    <w:rsid w:val="00B150EF"/>
    <w:rsid w:val="00B16FDB"/>
    <w:rsid w:val="00B4193A"/>
    <w:rsid w:val="00B64271"/>
    <w:rsid w:val="00B75C97"/>
    <w:rsid w:val="00B9621F"/>
    <w:rsid w:val="00BC643F"/>
    <w:rsid w:val="00BD5D21"/>
    <w:rsid w:val="00C028DF"/>
    <w:rsid w:val="00C0587F"/>
    <w:rsid w:val="00C46AD2"/>
    <w:rsid w:val="00C74770"/>
    <w:rsid w:val="00C946B4"/>
    <w:rsid w:val="00CA42A3"/>
    <w:rsid w:val="00CB4C95"/>
    <w:rsid w:val="00CC48D9"/>
    <w:rsid w:val="00D17580"/>
    <w:rsid w:val="00D7455F"/>
    <w:rsid w:val="00D91281"/>
    <w:rsid w:val="00DA1290"/>
    <w:rsid w:val="00DC0D66"/>
    <w:rsid w:val="00DE0098"/>
    <w:rsid w:val="00E03139"/>
    <w:rsid w:val="00E13004"/>
    <w:rsid w:val="00E17097"/>
    <w:rsid w:val="00E35BAC"/>
    <w:rsid w:val="00E54585"/>
    <w:rsid w:val="00E55047"/>
    <w:rsid w:val="00E7013D"/>
    <w:rsid w:val="00E739F8"/>
    <w:rsid w:val="00E8579E"/>
    <w:rsid w:val="00E93A51"/>
    <w:rsid w:val="00EC0908"/>
    <w:rsid w:val="00EE0417"/>
    <w:rsid w:val="00F966EF"/>
    <w:rsid w:val="00FC2984"/>
    <w:rsid w:val="00FF57D0"/>
    <w:rsid w:val="0847ABAF"/>
    <w:rsid w:val="0DA94EA9"/>
    <w:rsid w:val="14258188"/>
    <w:rsid w:val="146CE7BB"/>
    <w:rsid w:val="1FA3C350"/>
    <w:rsid w:val="2094C6FF"/>
    <w:rsid w:val="22DB6412"/>
    <w:rsid w:val="27081870"/>
    <w:rsid w:val="294375FC"/>
    <w:rsid w:val="2C8F59F2"/>
    <w:rsid w:val="2DDE9F6D"/>
    <w:rsid w:val="3C5C2C07"/>
    <w:rsid w:val="47D64D4E"/>
    <w:rsid w:val="4C099F1B"/>
    <w:rsid w:val="4F2CE669"/>
    <w:rsid w:val="6C83849E"/>
    <w:rsid w:val="7739DCAE"/>
    <w:rsid w:val="77D98478"/>
    <w:rsid w:val="7ECC3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C9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4C9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CB4C95"/>
  </w:style>
  <w:style w:type="character" w:customStyle="1" w:styleId="eop">
    <w:name w:val="eop"/>
    <w:basedOn w:val="DefaultParagraphFont"/>
    <w:rsid w:val="00CB4C95"/>
  </w:style>
  <w:style w:type="character" w:customStyle="1" w:styleId="spellingerror">
    <w:name w:val="spellingerror"/>
    <w:basedOn w:val="DefaultParagraphFont"/>
    <w:rsid w:val="00CB4C95"/>
  </w:style>
  <w:style w:type="character" w:customStyle="1" w:styleId="contextualspellingandgrammarerror">
    <w:name w:val="contextualspellingandgrammarerror"/>
    <w:basedOn w:val="DefaultParagraphFont"/>
    <w:rsid w:val="00CB4C95"/>
  </w:style>
  <w:style w:type="paragraph" w:styleId="Revision">
    <w:name w:val="Revision"/>
    <w:hidden/>
    <w:uiPriority w:val="99"/>
    <w:semiHidden/>
    <w:rsid w:val="00F966EF"/>
    <w:pPr>
      <w:spacing w:after="0" w:line="240" w:lineRule="auto"/>
    </w:pPr>
  </w:style>
  <w:style w:type="character" w:styleId="CommentReference">
    <w:name w:val="annotation reference"/>
    <w:basedOn w:val="DefaultParagraphFont"/>
    <w:uiPriority w:val="99"/>
    <w:semiHidden/>
    <w:unhideWhenUsed/>
    <w:rsid w:val="004F7DE8"/>
    <w:rPr>
      <w:sz w:val="16"/>
      <w:szCs w:val="16"/>
    </w:rPr>
  </w:style>
  <w:style w:type="paragraph" w:styleId="CommentText">
    <w:name w:val="annotation text"/>
    <w:basedOn w:val="Normal"/>
    <w:link w:val="CommentTextChar"/>
    <w:uiPriority w:val="99"/>
    <w:unhideWhenUsed/>
    <w:rsid w:val="004F7DE8"/>
    <w:pPr>
      <w:spacing w:line="240" w:lineRule="auto"/>
    </w:pPr>
    <w:rPr>
      <w:sz w:val="20"/>
      <w:szCs w:val="20"/>
    </w:rPr>
  </w:style>
  <w:style w:type="character" w:customStyle="1" w:styleId="CommentTextChar">
    <w:name w:val="Comment Text Char"/>
    <w:basedOn w:val="DefaultParagraphFont"/>
    <w:link w:val="CommentText"/>
    <w:uiPriority w:val="99"/>
    <w:rsid w:val="004F7DE8"/>
    <w:rPr>
      <w:sz w:val="20"/>
      <w:szCs w:val="20"/>
    </w:rPr>
  </w:style>
  <w:style w:type="paragraph" w:styleId="CommentSubject">
    <w:name w:val="annotation subject"/>
    <w:basedOn w:val="CommentText"/>
    <w:next w:val="CommentText"/>
    <w:link w:val="CommentSubjectChar"/>
    <w:uiPriority w:val="99"/>
    <w:semiHidden/>
    <w:unhideWhenUsed/>
    <w:rsid w:val="004F7DE8"/>
    <w:rPr>
      <w:b/>
      <w:bCs/>
    </w:rPr>
  </w:style>
  <w:style w:type="character" w:customStyle="1" w:styleId="CommentSubjectChar">
    <w:name w:val="Comment Subject Char"/>
    <w:basedOn w:val="CommentTextChar"/>
    <w:link w:val="CommentSubject"/>
    <w:uiPriority w:val="99"/>
    <w:semiHidden/>
    <w:rsid w:val="004F7DE8"/>
    <w:rPr>
      <w:b/>
      <w:bCs/>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0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1D"/>
  </w:style>
  <w:style w:type="paragraph" w:styleId="Footer">
    <w:name w:val="footer"/>
    <w:basedOn w:val="Normal"/>
    <w:link w:val="FooterChar"/>
    <w:uiPriority w:val="99"/>
    <w:unhideWhenUsed/>
    <w:rsid w:val="0030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1D"/>
  </w:style>
  <w:style w:type="character" w:customStyle="1" w:styleId="ui-provider">
    <w:name w:val="ui-provider"/>
    <w:basedOn w:val="DefaultParagraphFont"/>
    <w:rsid w:val="0069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0415">
      <w:bodyDiv w:val="1"/>
      <w:marLeft w:val="0"/>
      <w:marRight w:val="0"/>
      <w:marTop w:val="0"/>
      <w:marBottom w:val="0"/>
      <w:divBdr>
        <w:top w:val="none" w:sz="0" w:space="0" w:color="auto"/>
        <w:left w:val="none" w:sz="0" w:space="0" w:color="auto"/>
        <w:bottom w:val="none" w:sz="0" w:space="0" w:color="auto"/>
        <w:right w:val="none" w:sz="0" w:space="0" w:color="auto"/>
      </w:divBdr>
    </w:div>
    <w:div w:id="1707371336">
      <w:bodyDiv w:val="1"/>
      <w:marLeft w:val="0"/>
      <w:marRight w:val="0"/>
      <w:marTop w:val="0"/>
      <w:marBottom w:val="0"/>
      <w:divBdr>
        <w:top w:val="none" w:sz="0" w:space="0" w:color="auto"/>
        <w:left w:val="none" w:sz="0" w:space="0" w:color="auto"/>
        <w:bottom w:val="none" w:sz="0" w:space="0" w:color="auto"/>
        <w:right w:val="none" w:sz="0" w:space="0" w:color="auto"/>
      </w:divBdr>
      <w:divsChild>
        <w:div w:id="89326159">
          <w:marLeft w:val="0"/>
          <w:marRight w:val="0"/>
          <w:marTop w:val="0"/>
          <w:marBottom w:val="0"/>
          <w:divBdr>
            <w:top w:val="none" w:sz="0" w:space="0" w:color="auto"/>
            <w:left w:val="none" w:sz="0" w:space="0" w:color="auto"/>
            <w:bottom w:val="none" w:sz="0" w:space="0" w:color="auto"/>
            <w:right w:val="none" w:sz="0" w:space="0" w:color="auto"/>
          </w:divBdr>
        </w:div>
        <w:div w:id="106194688">
          <w:marLeft w:val="0"/>
          <w:marRight w:val="0"/>
          <w:marTop w:val="0"/>
          <w:marBottom w:val="0"/>
          <w:divBdr>
            <w:top w:val="none" w:sz="0" w:space="0" w:color="auto"/>
            <w:left w:val="none" w:sz="0" w:space="0" w:color="auto"/>
            <w:bottom w:val="none" w:sz="0" w:space="0" w:color="auto"/>
            <w:right w:val="none" w:sz="0" w:space="0" w:color="auto"/>
          </w:divBdr>
        </w:div>
        <w:div w:id="112601227">
          <w:marLeft w:val="0"/>
          <w:marRight w:val="0"/>
          <w:marTop w:val="0"/>
          <w:marBottom w:val="0"/>
          <w:divBdr>
            <w:top w:val="none" w:sz="0" w:space="0" w:color="auto"/>
            <w:left w:val="none" w:sz="0" w:space="0" w:color="auto"/>
            <w:bottom w:val="none" w:sz="0" w:space="0" w:color="auto"/>
            <w:right w:val="none" w:sz="0" w:space="0" w:color="auto"/>
          </w:divBdr>
        </w:div>
        <w:div w:id="127742360">
          <w:marLeft w:val="0"/>
          <w:marRight w:val="0"/>
          <w:marTop w:val="0"/>
          <w:marBottom w:val="0"/>
          <w:divBdr>
            <w:top w:val="none" w:sz="0" w:space="0" w:color="auto"/>
            <w:left w:val="none" w:sz="0" w:space="0" w:color="auto"/>
            <w:bottom w:val="none" w:sz="0" w:space="0" w:color="auto"/>
            <w:right w:val="none" w:sz="0" w:space="0" w:color="auto"/>
          </w:divBdr>
        </w:div>
        <w:div w:id="147599620">
          <w:marLeft w:val="0"/>
          <w:marRight w:val="0"/>
          <w:marTop w:val="0"/>
          <w:marBottom w:val="0"/>
          <w:divBdr>
            <w:top w:val="none" w:sz="0" w:space="0" w:color="auto"/>
            <w:left w:val="none" w:sz="0" w:space="0" w:color="auto"/>
            <w:bottom w:val="none" w:sz="0" w:space="0" w:color="auto"/>
            <w:right w:val="none" w:sz="0" w:space="0" w:color="auto"/>
          </w:divBdr>
        </w:div>
        <w:div w:id="309866593">
          <w:marLeft w:val="0"/>
          <w:marRight w:val="0"/>
          <w:marTop w:val="0"/>
          <w:marBottom w:val="0"/>
          <w:divBdr>
            <w:top w:val="none" w:sz="0" w:space="0" w:color="auto"/>
            <w:left w:val="none" w:sz="0" w:space="0" w:color="auto"/>
            <w:bottom w:val="none" w:sz="0" w:space="0" w:color="auto"/>
            <w:right w:val="none" w:sz="0" w:space="0" w:color="auto"/>
          </w:divBdr>
        </w:div>
        <w:div w:id="310646908">
          <w:marLeft w:val="0"/>
          <w:marRight w:val="0"/>
          <w:marTop w:val="0"/>
          <w:marBottom w:val="0"/>
          <w:divBdr>
            <w:top w:val="none" w:sz="0" w:space="0" w:color="auto"/>
            <w:left w:val="none" w:sz="0" w:space="0" w:color="auto"/>
            <w:bottom w:val="none" w:sz="0" w:space="0" w:color="auto"/>
            <w:right w:val="none" w:sz="0" w:space="0" w:color="auto"/>
          </w:divBdr>
        </w:div>
        <w:div w:id="443426267">
          <w:marLeft w:val="0"/>
          <w:marRight w:val="0"/>
          <w:marTop w:val="0"/>
          <w:marBottom w:val="0"/>
          <w:divBdr>
            <w:top w:val="none" w:sz="0" w:space="0" w:color="auto"/>
            <w:left w:val="none" w:sz="0" w:space="0" w:color="auto"/>
            <w:bottom w:val="none" w:sz="0" w:space="0" w:color="auto"/>
            <w:right w:val="none" w:sz="0" w:space="0" w:color="auto"/>
          </w:divBdr>
        </w:div>
        <w:div w:id="448210598">
          <w:marLeft w:val="0"/>
          <w:marRight w:val="0"/>
          <w:marTop w:val="0"/>
          <w:marBottom w:val="0"/>
          <w:divBdr>
            <w:top w:val="none" w:sz="0" w:space="0" w:color="auto"/>
            <w:left w:val="none" w:sz="0" w:space="0" w:color="auto"/>
            <w:bottom w:val="none" w:sz="0" w:space="0" w:color="auto"/>
            <w:right w:val="none" w:sz="0" w:space="0" w:color="auto"/>
          </w:divBdr>
        </w:div>
        <w:div w:id="477889188">
          <w:marLeft w:val="0"/>
          <w:marRight w:val="0"/>
          <w:marTop w:val="0"/>
          <w:marBottom w:val="0"/>
          <w:divBdr>
            <w:top w:val="none" w:sz="0" w:space="0" w:color="auto"/>
            <w:left w:val="none" w:sz="0" w:space="0" w:color="auto"/>
            <w:bottom w:val="none" w:sz="0" w:space="0" w:color="auto"/>
            <w:right w:val="none" w:sz="0" w:space="0" w:color="auto"/>
          </w:divBdr>
        </w:div>
        <w:div w:id="492719954">
          <w:marLeft w:val="0"/>
          <w:marRight w:val="0"/>
          <w:marTop w:val="0"/>
          <w:marBottom w:val="0"/>
          <w:divBdr>
            <w:top w:val="none" w:sz="0" w:space="0" w:color="auto"/>
            <w:left w:val="none" w:sz="0" w:space="0" w:color="auto"/>
            <w:bottom w:val="none" w:sz="0" w:space="0" w:color="auto"/>
            <w:right w:val="none" w:sz="0" w:space="0" w:color="auto"/>
          </w:divBdr>
        </w:div>
        <w:div w:id="553850881">
          <w:marLeft w:val="0"/>
          <w:marRight w:val="0"/>
          <w:marTop w:val="0"/>
          <w:marBottom w:val="0"/>
          <w:divBdr>
            <w:top w:val="none" w:sz="0" w:space="0" w:color="auto"/>
            <w:left w:val="none" w:sz="0" w:space="0" w:color="auto"/>
            <w:bottom w:val="none" w:sz="0" w:space="0" w:color="auto"/>
            <w:right w:val="none" w:sz="0" w:space="0" w:color="auto"/>
          </w:divBdr>
        </w:div>
        <w:div w:id="578445211">
          <w:marLeft w:val="0"/>
          <w:marRight w:val="0"/>
          <w:marTop w:val="0"/>
          <w:marBottom w:val="0"/>
          <w:divBdr>
            <w:top w:val="none" w:sz="0" w:space="0" w:color="auto"/>
            <w:left w:val="none" w:sz="0" w:space="0" w:color="auto"/>
            <w:bottom w:val="none" w:sz="0" w:space="0" w:color="auto"/>
            <w:right w:val="none" w:sz="0" w:space="0" w:color="auto"/>
          </w:divBdr>
        </w:div>
        <w:div w:id="674304800">
          <w:marLeft w:val="0"/>
          <w:marRight w:val="0"/>
          <w:marTop w:val="0"/>
          <w:marBottom w:val="0"/>
          <w:divBdr>
            <w:top w:val="none" w:sz="0" w:space="0" w:color="auto"/>
            <w:left w:val="none" w:sz="0" w:space="0" w:color="auto"/>
            <w:bottom w:val="none" w:sz="0" w:space="0" w:color="auto"/>
            <w:right w:val="none" w:sz="0" w:space="0" w:color="auto"/>
          </w:divBdr>
        </w:div>
        <w:div w:id="755712066">
          <w:marLeft w:val="0"/>
          <w:marRight w:val="0"/>
          <w:marTop w:val="0"/>
          <w:marBottom w:val="0"/>
          <w:divBdr>
            <w:top w:val="none" w:sz="0" w:space="0" w:color="auto"/>
            <w:left w:val="none" w:sz="0" w:space="0" w:color="auto"/>
            <w:bottom w:val="none" w:sz="0" w:space="0" w:color="auto"/>
            <w:right w:val="none" w:sz="0" w:space="0" w:color="auto"/>
          </w:divBdr>
        </w:div>
        <w:div w:id="816724519">
          <w:marLeft w:val="0"/>
          <w:marRight w:val="0"/>
          <w:marTop w:val="0"/>
          <w:marBottom w:val="0"/>
          <w:divBdr>
            <w:top w:val="none" w:sz="0" w:space="0" w:color="auto"/>
            <w:left w:val="none" w:sz="0" w:space="0" w:color="auto"/>
            <w:bottom w:val="none" w:sz="0" w:space="0" w:color="auto"/>
            <w:right w:val="none" w:sz="0" w:space="0" w:color="auto"/>
          </w:divBdr>
        </w:div>
        <w:div w:id="885920531">
          <w:marLeft w:val="0"/>
          <w:marRight w:val="0"/>
          <w:marTop w:val="0"/>
          <w:marBottom w:val="0"/>
          <w:divBdr>
            <w:top w:val="none" w:sz="0" w:space="0" w:color="auto"/>
            <w:left w:val="none" w:sz="0" w:space="0" w:color="auto"/>
            <w:bottom w:val="none" w:sz="0" w:space="0" w:color="auto"/>
            <w:right w:val="none" w:sz="0" w:space="0" w:color="auto"/>
          </w:divBdr>
        </w:div>
        <w:div w:id="1008097102">
          <w:marLeft w:val="0"/>
          <w:marRight w:val="0"/>
          <w:marTop w:val="0"/>
          <w:marBottom w:val="0"/>
          <w:divBdr>
            <w:top w:val="none" w:sz="0" w:space="0" w:color="auto"/>
            <w:left w:val="none" w:sz="0" w:space="0" w:color="auto"/>
            <w:bottom w:val="none" w:sz="0" w:space="0" w:color="auto"/>
            <w:right w:val="none" w:sz="0" w:space="0" w:color="auto"/>
          </w:divBdr>
        </w:div>
        <w:div w:id="1083798002">
          <w:marLeft w:val="0"/>
          <w:marRight w:val="0"/>
          <w:marTop w:val="0"/>
          <w:marBottom w:val="0"/>
          <w:divBdr>
            <w:top w:val="none" w:sz="0" w:space="0" w:color="auto"/>
            <w:left w:val="none" w:sz="0" w:space="0" w:color="auto"/>
            <w:bottom w:val="none" w:sz="0" w:space="0" w:color="auto"/>
            <w:right w:val="none" w:sz="0" w:space="0" w:color="auto"/>
          </w:divBdr>
        </w:div>
        <w:div w:id="1217467963">
          <w:marLeft w:val="0"/>
          <w:marRight w:val="0"/>
          <w:marTop w:val="0"/>
          <w:marBottom w:val="0"/>
          <w:divBdr>
            <w:top w:val="none" w:sz="0" w:space="0" w:color="auto"/>
            <w:left w:val="none" w:sz="0" w:space="0" w:color="auto"/>
            <w:bottom w:val="none" w:sz="0" w:space="0" w:color="auto"/>
            <w:right w:val="none" w:sz="0" w:space="0" w:color="auto"/>
          </w:divBdr>
        </w:div>
        <w:div w:id="1230723852">
          <w:marLeft w:val="0"/>
          <w:marRight w:val="0"/>
          <w:marTop w:val="0"/>
          <w:marBottom w:val="0"/>
          <w:divBdr>
            <w:top w:val="none" w:sz="0" w:space="0" w:color="auto"/>
            <w:left w:val="none" w:sz="0" w:space="0" w:color="auto"/>
            <w:bottom w:val="none" w:sz="0" w:space="0" w:color="auto"/>
            <w:right w:val="none" w:sz="0" w:space="0" w:color="auto"/>
          </w:divBdr>
        </w:div>
        <w:div w:id="1279335363">
          <w:marLeft w:val="0"/>
          <w:marRight w:val="0"/>
          <w:marTop w:val="0"/>
          <w:marBottom w:val="0"/>
          <w:divBdr>
            <w:top w:val="none" w:sz="0" w:space="0" w:color="auto"/>
            <w:left w:val="none" w:sz="0" w:space="0" w:color="auto"/>
            <w:bottom w:val="none" w:sz="0" w:space="0" w:color="auto"/>
            <w:right w:val="none" w:sz="0" w:space="0" w:color="auto"/>
          </w:divBdr>
        </w:div>
        <w:div w:id="1380864703">
          <w:marLeft w:val="0"/>
          <w:marRight w:val="0"/>
          <w:marTop w:val="0"/>
          <w:marBottom w:val="0"/>
          <w:divBdr>
            <w:top w:val="none" w:sz="0" w:space="0" w:color="auto"/>
            <w:left w:val="none" w:sz="0" w:space="0" w:color="auto"/>
            <w:bottom w:val="none" w:sz="0" w:space="0" w:color="auto"/>
            <w:right w:val="none" w:sz="0" w:space="0" w:color="auto"/>
          </w:divBdr>
        </w:div>
        <w:div w:id="1463767130">
          <w:marLeft w:val="0"/>
          <w:marRight w:val="0"/>
          <w:marTop w:val="0"/>
          <w:marBottom w:val="0"/>
          <w:divBdr>
            <w:top w:val="none" w:sz="0" w:space="0" w:color="auto"/>
            <w:left w:val="none" w:sz="0" w:space="0" w:color="auto"/>
            <w:bottom w:val="none" w:sz="0" w:space="0" w:color="auto"/>
            <w:right w:val="none" w:sz="0" w:space="0" w:color="auto"/>
          </w:divBdr>
        </w:div>
        <w:div w:id="1510565685">
          <w:marLeft w:val="0"/>
          <w:marRight w:val="0"/>
          <w:marTop w:val="0"/>
          <w:marBottom w:val="0"/>
          <w:divBdr>
            <w:top w:val="none" w:sz="0" w:space="0" w:color="auto"/>
            <w:left w:val="none" w:sz="0" w:space="0" w:color="auto"/>
            <w:bottom w:val="none" w:sz="0" w:space="0" w:color="auto"/>
            <w:right w:val="none" w:sz="0" w:space="0" w:color="auto"/>
          </w:divBdr>
        </w:div>
        <w:div w:id="1522545829">
          <w:marLeft w:val="0"/>
          <w:marRight w:val="0"/>
          <w:marTop w:val="0"/>
          <w:marBottom w:val="0"/>
          <w:divBdr>
            <w:top w:val="none" w:sz="0" w:space="0" w:color="auto"/>
            <w:left w:val="none" w:sz="0" w:space="0" w:color="auto"/>
            <w:bottom w:val="none" w:sz="0" w:space="0" w:color="auto"/>
            <w:right w:val="none" w:sz="0" w:space="0" w:color="auto"/>
          </w:divBdr>
        </w:div>
        <w:div w:id="1733886512">
          <w:marLeft w:val="0"/>
          <w:marRight w:val="0"/>
          <w:marTop w:val="0"/>
          <w:marBottom w:val="0"/>
          <w:divBdr>
            <w:top w:val="none" w:sz="0" w:space="0" w:color="auto"/>
            <w:left w:val="none" w:sz="0" w:space="0" w:color="auto"/>
            <w:bottom w:val="none" w:sz="0" w:space="0" w:color="auto"/>
            <w:right w:val="none" w:sz="0" w:space="0" w:color="auto"/>
          </w:divBdr>
        </w:div>
        <w:div w:id="1937470375">
          <w:marLeft w:val="0"/>
          <w:marRight w:val="0"/>
          <w:marTop w:val="0"/>
          <w:marBottom w:val="0"/>
          <w:divBdr>
            <w:top w:val="none" w:sz="0" w:space="0" w:color="auto"/>
            <w:left w:val="none" w:sz="0" w:space="0" w:color="auto"/>
            <w:bottom w:val="none" w:sz="0" w:space="0" w:color="auto"/>
            <w:right w:val="none" w:sz="0" w:space="0" w:color="auto"/>
          </w:divBdr>
        </w:div>
        <w:div w:id="1952123010">
          <w:marLeft w:val="0"/>
          <w:marRight w:val="0"/>
          <w:marTop w:val="0"/>
          <w:marBottom w:val="0"/>
          <w:divBdr>
            <w:top w:val="none" w:sz="0" w:space="0" w:color="auto"/>
            <w:left w:val="none" w:sz="0" w:space="0" w:color="auto"/>
            <w:bottom w:val="none" w:sz="0" w:space="0" w:color="auto"/>
            <w:right w:val="none" w:sz="0" w:space="0" w:color="auto"/>
          </w:divBdr>
        </w:div>
        <w:div w:id="2018922568">
          <w:marLeft w:val="0"/>
          <w:marRight w:val="0"/>
          <w:marTop w:val="0"/>
          <w:marBottom w:val="0"/>
          <w:divBdr>
            <w:top w:val="none" w:sz="0" w:space="0" w:color="auto"/>
            <w:left w:val="none" w:sz="0" w:space="0" w:color="auto"/>
            <w:bottom w:val="none" w:sz="0" w:space="0" w:color="auto"/>
            <w:right w:val="none" w:sz="0" w:space="0" w:color="auto"/>
          </w:divBdr>
        </w:div>
        <w:div w:id="2068992006">
          <w:marLeft w:val="0"/>
          <w:marRight w:val="0"/>
          <w:marTop w:val="0"/>
          <w:marBottom w:val="0"/>
          <w:divBdr>
            <w:top w:val="none" w:sz="0" w:space="0" w:color="auto"/>
            <w:left w:val="none" w:sz="0" w:space="0" w:color="auto"/>
            <w:bottom w:val="none" w:sz="0" w:space="0" w:color="auto"/>
            <w:right w:val="none" w:sz="0" w:space="0" w:color="auto"/>
          </w:divBdr>
        </w:div>
        <w:div w:id="2103061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westlaw.com/Link/Document/FullText?findType=L&amp;pubNum=1000200&amp;cite=CACIS3428&amp;originatingDoc=I85E37B30E98A11ED98CCEB8B0C289CF3&amp;refType=LQ&amp;originationContext=document&amp;vr=3.0&amp;rs=cblt1.0&amp;transitionType=DocumentItem&amp;contextData=(sc.History*oc.DocLin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6B493E74-2309-4725-AD65-05A8F5DF45F9}">
  <ds:schemaRefs>
    <ds:schemaRef ds:uri="http://schemas.openxmlformats.org/officeDocument/2006/bibliography"/>
  </ds:schemaRefs>
</ds:datastoreItem>
</file>

<file path=customXml/itemProps2.xml><?xml version="1.0" encoding="utf-8"?>
<ds:datastoreItem xmlns:ds="http://schemas.openxmlformats.org/officeDocument/2006/customXml" ds:itemID="{47E54BC4-1CF3-48BE-8809-B0D8C07BE6A6}"/>
</file>

<file path=customXml/itemProps3.xml><?xml version="1.0" encoding="utf-8"?>
<ds:datastoreItem xmlns:ds="http://schemas.openxmlformats.org/officeDocument/2006/customXml" ds:itemID="{1E00D63A-BEAF-45A5-9678-B8E6443842C5}"/>
</file>

<file path=customXml/itemProps4.xml><?xml version="1.0" encoding="utf-8"?>
<ds:datastoreItem xmlns:ds="http://schemas.openxmlformats.org/officeDocument/2006/customXml" ds:itemID="{A1925929-0EA0-44CA-A6FF-73C15304C7F4}"/>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2023-12-21T04:11:00Z</dcterms:created>
  <dcterms:modified xsi:type="dcterms:W3CDTF">2023-12-21T04:12:00Z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