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B10A" w14:textId="0060295A" w:rsidR="009568A1" w:rsidRDefault="009568A1" w:rsidP="009568A1">
      <w:pPr>
        <w:tabs>
          <w:tab w:val="left" w:pos="0"/>
          <w:tab w:val="left" w:pos="720"/>
        </w:tabs>
        <w:spacing w:before="240" w:after="240"/>
        <w:jc w:val="center"/>
        <w:rPr>
          <w:rFonts w:ascii="Arial" w:eastAsia="Arial" w:hAnsi="Arial" w:cs="Arial"/>
          <w:b/>
          <w:bCs/>
          <w:sz w:val="28"/>
          <w:szCs w:val="28"/>
        </w:rPr>
      </w:pPr>
      <w:r w:rsidRPr="00BF5436">
        <w:rPr>
          <w:rFonts w:ascii="Arial" w:hAnsi="Arial" w:cs="Arial"/>
          <w:b/>
          <w:bCs/>
          <w:sz w:val="28"/>
          <w:szCs w:val="28"/>
        </w:rPr>
        <w:t>A</w:t>
      </w:r>
      <w:r w:rsidRPr="00BF1E2C">
        <w:rPr>
          <w:rFonts w:ascii="Arial" w:hAnsi="Arial" w:cs="Arial"/>
          <w:b/>
          <w:bCs/>
          <w:sz w:val="28"/>
          <w:szCs w:val="28"/>
        </w:rPr>
        <w:t xml:space="preserve">mendments to </w:t>
      </w:r>
      <w:r w:rsidRPr="00BF1E2C">
        <w:rPr>
          <w:rFonts w:ascii="Arial" w:eastAsia="Arial" w:hAnsi="Arial" w:cs="Arial"/>
          <w:b/>
          <w:bCs/>
          <w:sz w:val="28"/>
          <w:szCs w:val="28"/>
        </w:rPr>
        <w:t>28 CCR § 1300.51(d), Item H</w:t>
      </w:r>
    </w:p>
    <w:p w14:paraId="36986130" w14:textId="049F0352" w:rsidR="009568A1" w:rsidRPr="00784E6B" w:rsidRDefault="009568A1" w:rsidP="009568A1">
      <w:pPr>
        <w:pStyle w:val="Header"/>
        <w:spacing w:after="240"/>
        <w:rPr>
          <w:rFonts w:ascii="Arial" w:eastAsiaTheme="majorEastAsia" w:hAnsi="Arial" w:cs="Arial"/>
          <w:spacing w:val="-10"/>
          <w:kern w:val="28"/>
          <w:sz w:val="24"/>
          <w:szCs w:val="24"/>
        </w:rPr>
      </w:pPr>
      <w:r w:rsidRPr="00784E6B">
        <w:rPr>
          <w:rFonts w:ascii="Arial" w:hAnsi="Arial" w:cs="Arial"/>
          <w:sz w:val="24"/>
          <w:szCs w:val="24"/>
        </w:rPr>
        <w:t>The following amendments to 28 CCR § 1300.51(d) are noticed pursuant to the exemption to the Administrative Procedures Act (APA) set forth in Health and Safety Code section 1367.03(f).</w:t>
      </w:r>
      <w:r w:rsidRPr="00202859">
        <w:rPr>
          <w:rStyle w:val="FootnoteReference"/>
          <w:rFonts w:ascii="Arial" w:hAnsi="Arial" w:cs="Arial"/>
          <w:sz w:val="24"/>
          <w:szCs w:val="24"/>
        </w:rPr>
        <w:footnoteReference w:id="2"/>
      </w:r>
    </w:p>
    <w:p w14:paraId="2E0B30C7" w14:textId="77777777" w:rsidR="009568A1" w:rsidRPr="00784E6B" w:rsidRDefault="009568A1" w:rsidP="009568A1">
      <w:pPr>
        <w:tabs>
          <w:tab w:val="left" w:pos="0"/>
          <w:tab w:val="left" w:pos="720"/>
        </w:tabs>
        <w:spacing w:after="0"/>
        <w:rPr>
          <w:rFonts w:ascii="Arial" w:eastAsia="Arial" w:hAnsi="Arial" w:cs="Arial"/>
          <w:b/>
          <w:sz w:val="24"/>
          <w:szCs w:val="24"/>
        </w:rPr>
      </w:pPr>
      <w:r w:rsidRPr="00784E6B">
        <w:rPr>
          <w:rFonts w:ascii="Arial" w:eastAsia="Arial" w:hAnsi="Arial" w:cs="Arial"/>
          <w:b/>
          <w:bCs/>
          <w:sz w:val="24"/>
          <w:szCs w:val="24"/>
        </w:rPr>
        <w:t>§ 1300.51. Application for License as a Health Care Service Plan or Specialized Health Care Service Plan.</w:t>
      </w:r>
    </w:p>
    <w:p w14:paraId="7E5B1DDA" w14:textId="1411D190" w:rsidR="009568A1" w:rsidRPr="00784E6B" w:rsidRDefault="00E4026F" w:rsidP="009568A1">
      <w:pPr>
        <w:tabs>
          <w:tab w:val="left" w:pos="0"/>
          <w:tab w:val="left" w:pos="720"/>
        </w:tabs>
        <w:spacing w:before="240" w:after="240"/>
        <w:rPr>
          <w:rFonts w:ascii="Arial" w:eastAsia="Arial" w:hAnsi="Arial" w:cs="Arial"/>
          <w:sz w:val="24"/>
          <w:szCs w:val="24"/>
        </w:rPr>
      </w:pPr>
      <w:r w:rsidRPr="00784E6B">
        <w:rPr>
          <w:rFonts w:ascii="Arial" w:eastAsia="Arial" w:hAnsi="Arial" w:cs="Arial"/>
          <w:sz w:val="24"/>
          <w:szCs w:val="24"/>
        </w:rPr>
        <w:t>[</w:t>
      </w:r>
      <w:r w:rsidR="009568A1" w:rsidRPr="00784E6B">
        <w:rPr>
          <w:rFonts w:ascii="Arial" w:eastAsia="Arial" w:hAnsi="Arial" w:cs="Arial"/>
          <w:sz w:val="24"/>
          <w:szCs w:val="24"/>
        </w:rPr>
        <w:t>. . .</w:t>
      </w:r>
      <w:r w:rsidRPr="00784E6B">
        <w:rPr>
          <w:rFonts w:ascii="Arial" w:eastAsia="Arial" w:hAnsi="Arial" w:cs="Arial"/>
          <w:sz w:val="24"/>
          <w:szCs w:val="24"/>
        </w:rPr>
        <w:t>]</w:t>
      </w:r>
    </w:p>
    <w:p w14:paraId="0895330D" w14:textId="77777777" w:rsidR="009568A1" w:rsidRPr="00784E6B" w:rsidRDefault="009568A1" w:rsidP="009568A1">
      <w:pPr>
        <w:tabs>
          <w:tab w:val="left" w:pos="0"/>
          <w:tab w:val="left" w:pos="720"/>
        </w:tabs>
        <w:spacing w:after="0"/>
        <w:rPr>
          <w:rFonts w:ascii="Arial" w:eastAsia="Arial" w:hAnsi="Arial" w:cs="Arial"/>
          <w:sz w:val="24"/>
          <w:szCs w:val="24"/>
        </w:rPr>
      </w:pPr>
      <w:r w:rsidRPr="00784E6B">
        <w:rPr>
          <w:rFonts w:ascii="Arial" w:eastAsia="Arial" w:hAnsi="Arial" w:cs="Arial"/>
          <w:sz w:val="24"/>
          <w:szCs w:val="24"/>
        </w:rPr>
        <w:t>(d) Exhibits to Plan Application</w:t>
      </w:r>
    </w:p>
    <w:p w14:paraId="5ED44121" w14:textId="6894F6F8" w:rsidR="009568A1" w:rsidRPr="00784E6B" w:rsidRDefault="00E4026F" w:rsidP="009568A1">
      <w:pPr>
        <w:tabs>
          <w:tab w:val="left" w:pos="0"/>
          <w:tab w:val="left" w:pos="720"/>
        </w:tabs>
        <w:spacing w:before="240" w:after="240"/>
        <w:rPr>
          <w:rFonts w:ascii="Arial" w:eastAsia="Arial" w:hAnsi="Arial" w:cs="Arial"/>
          <w:sz w:val="24"/>
          <w:szCs w:val="24"/>
        </w:rPr>
      </w:pPr>
      <w:r w:rsidRPr="00784E6B">
        <w:rPr>
          <w:rFonts w:ascii="Arial" w:eastAsia="Arial" w:hAnsi="Arial" w:cs="Arial"/>
          <w:sz w:val="24"/>
          <w:szCs w:val="24"/>
        </w:rPr>
        <w:t>[</w:t>
      </w:r>
      <w:r w:rsidR="009568A1" w:rsidRPr="00784E6B">
        <w:rPr>
          <w:rFonts w:ascii="Arial" w:eastAsia="Arial" w:hAnsi="Arial" w:cs="Arial"/>
          <w:sz w:val="24"/>
          <w:szCs w:val="24"/>
        </w:rPr>
        <w:t>. . .</w:t>
      </w:r>
      <w:r w:rsidRPr="00784E6B">
        <w:rPr>
          <w:rFonts w:ascii="Arial" w:eastAsia="Arial" w:hAnsi="Arial" w:cs="Arial"/>
          <w:sz w:val="24"/>
          <w:szCs w:val="24"/>
        </w:rPr>
        <w:t>]</w:t>
      </w:r>
    </w:p>
    <w:p w14:paraId="0FD36CCD" w14:textId="77777777" w:rsidR="009568A1" w:rsidRPr="00784E6B" w:rsidRDefault="009568A1" w:rsidP="009568A1">
      <w:pPr>
        <w:tabs>
          <w:tab w:val="left" w:pos="0"/>
          <w:tab w:val="left" w:pos="720"/>
        </w:tabs>
        <w:spacing w:before="240" w:after="240"/>
        <w:jc w:val="center"/>
        <w:rPr>
          <w:rFonts w:ascii="Arial" w:hAnsi="Arial" w:cs="Arial"/>
          <w:sz w:val="24"/>
          <w:szCs w:val="24"/>
        </w:rPr>
      </w:pPr>
      <w:r w:rsidRPr="00784E6B">
        <w:rPr>
          <w:rFonts w:ascii="Arial" w:eastAsia="Arial" w:hAnsi="Arial" w:cs="Arial"/>
          <w:sz w:val="24"/>
          <w:szCs w:val="24"/>
        </w:rPr>
        <w:t>HEALTH CARE DELIVERY SYSTEM</w:t>
      </w:r>
    </w:p>
    <w:p w14:paraId="3D01B7D5" w14:textId="77777777" w:rsidR="009568A1" w:rsidRPr="00606920" w:rsidRDefault="009568A1" w:rsidP="009568A1">
      <w:pPr>
        <w:pStyle w:val="Default"/>
        <w:spacing w:after="240"/>
        <w:ind w:firstLine="360"/>
        <w:rPr>
          <w:rFonts w:ascii="Arial" w:hAnsi="Arial" w:cs="Arial"/>
          <w:color w:val="auto"/>
        </w:rPr>
      </w:pPr>
      <w:r w:rsidRPr="00606920">
        <w:rPr>
          <w:rFonts w:ascii="Arial" w:hAnsi="Arial" w:cs="Arial"/>
          <w:color w:val="auto"/>
        </w:rPr>
        <w:t>H. Geographical Area Served.</w:t>
      </w:r>
    </w:p>
    <w:p w14:paraId="05F64B89" w14:textId="77777777" w:rsidR="009568A1" w:rsidRPr="00606920" w:rsidRDefault="009568A1" w:rsidP="009568A1">
      <w:pPr>
        <w:pStyle w:val="Default"/>
        <w:spacing w:after="240"/>
        <w:ind w:firstLine="360"/>
        <w:rPr>
          <w:rFonts w:ascii="Arial" w:hAnsi="Arial" w:cs="Arial"/>
          <w:color w:val="auto"/>
        </w:rPr>
      </w:pPr>
      <w:r w:rsidRPr="00606920">
        <w:rPr>
          <w:rFonts w:ascii="Arial" w:hAnsi="Arial" w:cs="Arial"/>
          <w:color w:val="auto"/>
        </w:rPr>
        <w:t>NOTE: The applicant is required to demonstrate that, throughout the geographic regions designated as the plan’s Service Area, a comprehensive range of primary, specialty, institutional and ancillary services are readily available at reasonable times to all enrollees and, to the extent feasible, that all services are readily accessible to all enrollees.</w:t>
      </w:r>
    </w:p>
    <w:p w14:paraId="54BC827D" w14:textId="77777777" w:rsidR="009568A1" w:rsidRPr="000C0DF2" w:rsidRDefault="009568A1" w:rsidP="009568A1">
      <w:pPr>
        <w:pStyle w:val="Default"/>
        <w:spacing w:after="240"/>
        <w:ind w:firstLine="360"/>
        <w:rPr>
          <w:rFonts w:ascii="Arial" w:hAnsi="Arial" w:cs="Arial"/>
          <w:color w:val="auto"/>
        </w:rPr>
      </w:pPr>
      <w:r w:rsidRPr="00606920">
        <w:rPr>
          <w:rFonts w:ascii="Arial" w:hAnsi="Arial" w:cs="Arial"/>
          <w:color w:val="auto"/>
        </w:rPr>
        <w:t xml:space="preserve">For the purpose of evaluating the geographic aspects of availability and accessibility, consideration will be given to the actual and projected enrollment of the plan based on the residence and place of work of enrollees within and, if applicable, outside the service area, including the individual and </w:t>
      </w:r>
      <w:r w:rsidRPr="000C0DF2">
        <w:rPr>
          <w:rFonts w:ascii="Arial" w:hAnsi="Arial" w:cs="Arial"/>
          <w:color w:val="auto"/>
        </w:rPr>
        <w:t>group enrollment projections furnished in Items CC, DD and EE of this application.</w:t>
      </w:r>
    </w:p>
    <w:p w14:paraId="5EE6C655" w14:textId="77777777" w:rsidR="009568A1" w:rsidRPr="00606920" w:rsidRDefault="009568A1" w:rsidP="009568A1">
      <w:pPr>
        <w:pStyle w:val="Default"/>
        <w:spacing w:after="240"/>
        <w:ind w:firstLine="360"/>
        <w:rPr>
          <w:rFonts w:ascii="Arial" w:hAnsi="Arial" w:cs="Arial"/>
          <w:strike/>
        </w:rPr>
      </w:pPr>
      <w:r w:rsidRPr="000C0DF2">
        <w:rPr>
          <w:rFonts w:ascii="Arial" w:hAnsi="Arial" w:cs="Arial"/>
        </w:rPr>
        <w:t xml:space="preserve">An applicant for plan license </w:t>
      </w:r>
      <w:r w:rsidRPr="000C0DF2">
        <w:rPr>
          <w:rFonts w:ascii="Arial" w:hAnsi="Arial" w:cs="Arial"/>
          <w:color w:val="auto"/>
        </w:rPr>
        <w:t>must</w:t>
      </w:r>
      <w:r w:rsidRPr="000C0DF2">
        <w:rPr>
          <w:rFonts w:ascii="Arial" w:hAnsi="Arial" w:cs="Arial"/>
        </w:rPr>
        <w:t xml:space="preserve"> demonstrate compliance with the accessibility requirement in each of the areas specified in paragraphs</w:t>
      </w:r>
      <w:r w:rsidRPr="00606920">
        <w:rPr>
          <w:rFonts w:ascii="Arial" w:hAnsi="Arial" w:cs="Arial"/>
        </w:rPr>
        <w:t xml:space="preserve"> (i) through (iv) below, either by demonstrating compliance with the </w:t>
      </w:r>
      <w:r w:rsidRPr="00606920">
        <w:rPr>
          <w:rFonts w:ascii="Arial" w:hAnsi="Arial" w:cs="Arial"/>
          <w:u w:val="single"/>
        </w:rPr>
        <w:t>standard</w:t>
      </w:r>
      <w:r w:rsidRPr="00606920">
        <w:rPr>
          <w:rFonts w:ascii="Arial" w:hAnsi="Arial" w:cs="Arial"/>
        </w:rPr>
        <w:t xml:space="preserve"> </w:t>
      </w:r>
      <w:r w:rsidRPr="00606920">
        <w:rPr>
          <w:rFonts w:ascii="Arial" w:hAnsi="Arial" w:cs="Arial"/>
          <w:strike/>
        </w:rPr>
        <w:t>guideline</w:t>
      </w:r>
      <w:r w:rsidRPr="00606920">
        <w:rPr>
          <w:rFonts w:ascii="Arial" w:hAnsi="Arial" w:cs="Arial"/>
        </w:rPr>
        <w:t xml:space="preserve"> specified in such paragraphs or, in the alternative, by presenting other information demonstrating compliance with reasonable accessibility </w:t>
      </w:r>
      <w:r w:rsidRPr="00606920">
        <w:rPr>
          <w:rFonts w:ascii="Arial" w:hAnsi="Arial" w:cs="Arial"/>
          <w:u w:val="single"/>
        </w:rPr>
        <w:t>pursuant to Rule 1300.67.2.1</w:t>
      </w:r>
      <w:r w:rsidRPr="00606920">
        <w:rPr>
          <w:rFonts w:ascii="Arial" w:hAnsi="Arial" w:cs="Arial"/>
        </w:rPr>
        <w:t xml:space="preserve">. </w:t>
      </w:r>
      <w:r w:rsidRPr="00606920">
        <w:rPr>
          <w:rFonts w:ascii="Arial" w:hAnsi="Arial" w:cs="Arial"/>
          <w:strike/>
        </w:rPr>
        <w:t>These guidelines apply only with respect to initial license applications and provide presumptively reasonable standards in the absence of actual operating experience. Such guidelines are not intended to express minimum standards of accessibility either for applicants or for licensees nor to create any inference that a plan which does not meet these guidelines does not meet the requirement of reasonable accessibility.</w:t>
      </w:r>
    </w:p>
    <w:p w14:paraId="56538B50" w14:textId="77777777" w:rsidR="009568A1" w:rsidRPr="004423B5" w:rsidRDefault="009568A1" w:rsidP="009568A1">
      <w:pPr>
        <w:pStyle w:val="Default"/>
        <w:spacing w:after="240"/>
        <w:ind w:firstLine="360"/>
        <w:rPr>
          <w:rFonts w:ascii="Arial" w:hAnsi="Arial" w:cs="Arial"/>
        </w:rPr>
      </w:pPr>
      <w:r w:rsidRPr="00784E6B">
        <w:rPr>
          <w:rFonts w:ascii="Arial" w:hAnsi="Arial" w:cs="Arial"/>
        </w:rPr>
        <w:lastRenderedPageBreak/>
        <w:t>(i</w:t>
      </w:r>
      <w:r w:rsidRPr="004423B5">
        <w:rPr>
          <w:rFonts w:ascii="Arial" w:hAnsi="Arial" w:cs="Arial"/>
        </w:rPr>
        <w:t xml:space="preserve">) Primary Care Providers. All enrollees have a residence or workplace within 30 minutes or 15 miles of a </w:t>
      </w:r>
      <w:r w:rsidRPr="004423B5">
        <w:rPr>
          <w:rFonts w:ascii="Arial" w:hAnsi="Arial" w:cs="Arial"/>
          <w:color w:val="auto"/>
        </w:rPr>
        <w:t>contracting</w:t>
      </w:r>
      <w:r w:rsidRPr="004423B5">
        <w:rPr>
          <w:rFonts w:ascii="Arial" w:hAnsi="Arial" w:cs="Arial"/>
        </w:rPr>
        <w:t xml:space="preserve"> or plan-operated primary care provider in such numbers and distribution as to accord to all enrollees a ratio of at least one primary care provider (on a full-time equivalent basis) to each 2,000 enrollees.</w:t>
      </w:r>
    </w:p>
    <w:p w14:paraId="5E144D22" w14:textId="77777777" w:rsidR="009568A1" w:rsidRPr="004423B5" w:rsidRDefault="009568A1" w:rsidP="009568A1">
      <w:pPr>
        <w:pStyle w:val="Default"/>
        <w:spacing w:after="240"/>
        <w:ind w:firstLine="360"/>
        <w:rPr>
          <w:rFonts w:ascii="Arial" w:hAnsi="Arial" w:cs="Arial"/>
        </w:rPr>
      </w:pPr>
      <w:r w:rsidRPr="004423B5">
        <w:rPr>
          <w:rFonts w:ascii="Arial" w:hAnsi="Arial" w:cs="Arial"/>
        </w:rPr>
        <w:t xml:space="preserve">(ii) Hospitals. In the case of a full-service plan, all enrollees have a residence or workplace within 30 </w:t>
      </w:r>
      <w:r w:rsidRPr="004423B5">
        <w:rPr>
          <w:rFonts w:ascii="Arial" w:hAnsi="Arial" w:cs="Arial"/>
          <w:color w:val="auto"/>
        </w:rPr>
        <w:t>minutes</w:t>
      </w:r>
      <w:r w:rsidRPr="004423B5">
        <w:rPr>
          <w:rFonts w:ascii="Arial" w:hAnsi="Arial" w:cs="Arial"/>
        </w:rPr>
        <w:t xml:space="preserve"> or 15 miles of a contracting or plan-operated hospital which has a capacity to serve the entire dependent enrollee population based on normal utilization, and, if separate from such hospital, a contracting or plan-operated provider of all emergency health care services.</w:t>
      </w:r>
    </w:p>
    <w:p w14:paraId="4BDFFFB8" w14:textId="77777777" w:rsidR="009568A1" w:rsidRPr="00784E6B" w:rsidRDefault="009568A1" w:rsidP="009568A1">
      <w:pPr>
        <w:pStyle w:val="Default"/>
        <w:spacing w:after="240"/>
        <w:ind w:firstLine="360"/>
        <w:rPr>
          <w:rFonts w:ascii="Arial" w:hAnsi="Arial" w:cs="Arial"/>
        </w:rPr>
      </w:pPr>
      <w:r w:rsidRPr="00784E6B">
        <w:rPr>
          <w:rFonts w:ascii="Arial" w:hAnsi="Arial" w:cs="Arial"/>
        </w:rPr>
        <w:t>(iii) Hospital Staff Privileges. In the case of a full-service plan, there is a complete network of contracting or plan-employed primary care physicians and specialists each of whom has admitting staff privileges with at least one contracting or plan-operated hospital equipped to provide the range of basic health care services the plan has contracted to provide.</w:t>
      </w:r>
    </w:p>
    <w:p w14:paraId="6B622509" w14:textId="77777777" w:rsidR="009568A1" w:rsidRPr="00784E6B" w:rsidRDefault="009568A1" w:rsidP="009568A1">
      <w:pPr>
        <w:spacing w:after="0"/>
        <w:ind w:firstLine="360"/>
        <w:rPr>
          <w:rFonts w:ascii="Arial" w:hAnsi="Arial" w:cs="Arial"/>
          <w:sz w:val="24"/>
          <w:szCs w:val="24"/>
        </w:rPr>
      </w:pPr>
      <w:r w:rsidRPr="00784E6B">
        <w:rPr>
          <w:rFonts w:ascii="Arial" w:hAnsi="Arial" w:cs="Arial"/>
          <w:sz w:val="24"/>
          <w:szCs w:val="24"/>
        </w:rPr>
        <w:t xml:space="preserve">(iv) Ancillary Services. Ancillary laboratory, pharmacy and similar services and goods dispensed by order or prescription </w:t>
      </w:r>
      <w:r w:rsidRPr="00784E6B">
        <w:rPr>
          <w:rFonts w:ascii="Arial" w:hAnsi="Arial" w:cs="Arial"/>
          <w:strike/>
          <w:sz w:val="24"/>
          <w:szCs w:val="24"/>
        </w:rPr>
        <w:t>on</w:t>
      </w:r>
      <w:r w:rsidRPr="00784E6B">
        <w:rPr>
          <w:rFonts w:ascii="Arial" w:hAnsi="Arial" w:cs="Arial"/>
          <w:sz w:val="24"/>
          <w:szCs w:val="24"/>
        </w:rPr>
        <w:t xml:space="preserve"> </w:t>
      </w:r>
      <w:r w:rsidRPr="00784E6B">
        <w:rPr>
          <w:rFonts w:ascii="Arial" w:hAnsi="Arial" w:cs="Arial"/>
          <w:sz w:val="24"/>
          <w:szCs w:val="24"/>
          <w:u w:val="single"/>
        </w:rPr>
        <w:t>by</w:t>
      </w:r>
      <w:r w:rsidRPr="00784E6B">
        <w:rPr>
          <w:rFonts w:ascii="Arial" w:hAnsi="Arial" w:cs="Arial"/>
          <w:sz w:val="24"/>
          <w:szCs w:val="24"/>
        </w:rPr>
        <w:t xml:space="preserve"> the primary care provider are available from contracting or plan-operated providers at locations (where enrollees are personally served) within a reasonable distance from the primary care provider.</w:t>
      </w:r>
    </w:p>
    <w:p w14:paraId="2F33B964" w14:textId="0F3A7C1F" w:rsidR="009568A1" w:rsidRPr="00784E6B" w:rsidRDefault="00E4026F" w:rsidP="009568A1">
      <w:pPr>
        <w:tabs>
          <w:tab w:val="left" w:pos="0"/>
          <w:tab w:val="left" w:pos="720"/>
        </w:tabs>
        <w:spacing w:before="240" w:after="240"/>
        <w:rPr>
          <w:rFonts w:ascii="Arial" w:hAnsi="Arial" w:cs="Arial"/>
          <w:sz w:val="24"/>
          <w:szCs w:val="24"/>
        </w:rPr>
      </w:pPr>
      <w:r w:rsidRPr="00784E6B">
        <w:rPr>
          <w:rFonts w:ascii="Arial" w:hAnsi="Arial" w:cs="Arial"/>
          <w:sz w:val="24"/>
          <w:szCs w:val="24"/>
        </w:rPr>
        <w:t>[</w:t>
      </w:r>
      <w:r w:rsidR="009568A1" w:rsidRPr="00784E6B">
        <w:rPr>
          <w:rFonts w:ascii="Arial" w:hAnsi="Arial" w:cs="Arial"/>
          <w:sz w:val="24"/>
          <w:szCs w:val="24"/>
        </w:rPr>
        <w:t>…</w:t>
      </w:r>
      <w:r w:rsidRPr="00784E6B">
        <w:rPr>
          <w:rFonts w:ascii="Arial" w:hAnsi="Arial" w:cs="Arial"/>
          <w:sz w:val="24"/>
          <w:szCs w:val="24"/>
        </w:rPr>
        <w:t>]</w:t>
      </w:r>
    </w:p>
    <w:sectPr w:rsidR="009568A1" w:rsidRPr="00784E6B">
      <w:headerReference w:type="default" r:id="rId6"/>
      <w:footerReference w:type="default" r:id="rId7"/>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FCAF" w14:textId="77777777" w:rsidR="00A73DC6" w:rsidRDefault="00A73DC6" w:rsidP="009568A1">
      <w:pPr>
        <w:spacing w:after="0" w:line="240" w:lineRule="auto"/>
      </w:pPr>
      <w:r>
        <w:separator/>
      </w:r>
    </w:p>
  </w:endnote>
  <w:endnote w:type="continuationSeparator" w:id="0">
    <w:p w14:paraId="677CD679" w14:textId="77777777" w:rsidR="00A73DC6" w:rsidRDefault="00A73DC6" w:rsidP="009568A1">
      <w:pPr>
        <w:spacing w:after="0" w:line="240" w:lineRule="auto"/>
      </w:pPr>
      <w:r>
        <w:continuationSeparator/>
      </w:r>
    </w:p>
  </w:endnote>
  <w:endnote w:type="continuationNotice" w:id="1">
    <w:p w14:paraId="2959579A" w14:textId="77777777" w:rsidR="00A73DC6" w:rsidRDefault="00A73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026130"/>
      <w:docPartObj>
        <w:docPartGallery w:val="Page Numbers (Bottom of Page)"/>
        <w:docPartUnique/>
      </w:docPartObj>
    </w:sdtPr>
    <w:sdtEndPr>
      <w:rPr>
        <w:rFonts w:ascii="Arial" w:hAnsi="Arial" w:cs="Arial"/>
        <w:noProof/>
        <w:sz w:val="24"/>
        <w:szCs w:val="24"/>
      </w:rPr>
    </w:sdtEndPr>
    <w:sdtContent>
      <w:p w14:paraId="58575781" w14:textId="77777777" w:rsidR="006E00E6" w:rsidRPr="00DE5D52" w:rsidRDefault="006E00E6">
        <w:pPr>
          <w:pStyle w:val="Footer"/>
          <w:jc w:val="center"/>
          <w:rPr>
            <w:rFonts w:ascii="Arial" w:hAnsi="Arial" w:cs="Arial"/>
            <w:sz w:val="24"/>
            <w:szCs w:val="24"/>
          </w:rPr>
        </w:pPr>
        <w:r w:rsidRPr="00DE5D52">
          <w:rPr>
            <w:rFonts w:ascii="Arial" w:hAnsi="Arial" w:cs="Arial"/>
            <w:sz w:val="24"/>
            <w:szCs w:val="24"/>
          </w:rPr>
          <w:fldChar w:fldCharType="begin"/>
        </w:r>
        <w:r w:rsidRPr="00DE5D52">
          <w:rPr>
            <w:rFonts w:ascii="Arial" w:hAnsi="Arial" w:cs="Arial"/>
            <w:sz w:val="24"/>
            <w:szCs w:val="24"/>
          </w:rPr>
          <w:instrText xml:space="preserve"> PAGE   \* MERGEFORMAT </w:instrText>
        </w:r>
        <w:r w:rsidRPr="00DE5D52">
          <w:rPr>
            <w:rFonts w:ascii="Arial" w:hAnsi="Arial" w:cs="Arial"/>
            <w:sz w:val="24"/>
            <w:szCs w:val="24"/>
          </w:rPr>
          <w:fldChar w:fldCharType="separate"/>
        </w:r>
        <w:r w:rsidRPr="00DE5D52">
          <w:rPr>
            <w:rFonts w:ascii="Arial" w:hAnsi="Arial" w:cs="Arial"/>
            <w:noProof/>
            <w:sz w:val="24"/>
            <w:szCs w:val="24"/>
          </w:rPr>
          <w:t>2</w:t>
        </w:r>
        <w:r w:rsidRPr="00DE5D52">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AC57" w14:textId="77777777" w:rsidR="00A73DC6" w:rsidRDefault="00A73DC6" w:rsidP="009568A1">
      <w:pPr>
        <w:spacing w:after="0" w:line="240" w:lineRule="auto"/>
      </w:pPr>
      <w:r>
        <w:separator/>
      </w:r>
    </w:p>
  </w:footnote>
  <w:footnote w:type="continuationSeparator" w:id="0">
    <w:p w14:paraId="49032AB2" w14:textId="77777777" w:rsidR="00A73DC6" w:rsidRDefault="00A73DC6" w:rsidP="009568A1">
      <w:pPr>
        <w:spacing w:after="0" w:line="240" w:lineRule="auto"/>
      </w:pPr>
      <w:r>
        <w:continuationSeparator/>
      </w:r>
    </w:p>
  </w:footnote>
  <w:footnote w:type="continuationNotice" w:id="1">
    <w:p w14:paraId="54E699A8" w14:textId="77777777" w:rsidR="00A73DC6" w:rsidRDefault="00A73DC6">
      <w:pPr>
        <w:spacing w:after="0" w:line="240" w:lineRule="auto"/>
      </w:pPr>
    </w:p>
  </w:footnote>
  <w:footnote w:id="2">
    <w:p w14:paraId="2781DA9F" w14:textId="77777777" w:rsidR="009568A1" w:rsidRPr="00594B8C" w:rsidRDefault="009568A1" w:rsidP="009568A1">
      <w:pPr>
        <w:pStyle w:val="FootnoteText"/>
        <w:rPr>
          <w:rFonts w:ascii="Arial" w:hAnsi="Arial" w:cs="Arial"/>
          <w:sz w:val="24"/>
          <w:szCs w:val="24"/>
        </w:rPr>
      </w:pPr>
      <w:r w:rsidRPr="00594B8C">
        <w:rPr>
          <w:rStyle w:val="FootnoteReference"/>
          <w:rFonts w:ascii="Arial" w:hAnsi="Arial" w:cs="Arial"/>
          <w:sz w:val="24"/>
          <w:szCs w:val="24"/>
        </w:rPr>
        <w:footnoteRef/>
      </w:r>
      <w:r w:rsidRPr="00594B8C">
        <w:rPr>
          <w:rFonts w:ascii="Arial" w:hAnsi="Arial" w:cs="Arial"/>
          <w:sz w:val="24"/>
          <w:szCs w:val="24"/>
        </w:rPr>
        <w:t xml:space="preserve"> </w:t>
      </w:r>
      <w:r w:rsidRPr="00594B8C">
        <w:rPr>
          <w:rFonts w:ascii="Arial" w:hAnsi="Arial" w:cs="Arial"/>
          <w:i/>
          <w:iCs/>
          <w:sz w:val="24"/>
          <w:szCs w:val="24"/>
        </w:rPr>
        <w:t>See</w:t>
      </w:r>
      <w:r w:rsidRPr="00594B8C">
        <w:rPr>
          <w:rFonts w:ascii="Arial" w:hAnsi="Arial" w:cs="Arial"/>
          <w:sz w:val="24"/>
          <w:szCs w:val="24"/>
        </w:rPr>
        <w:t xml:space="preserve"> Senate Bill (SB) 221 (Wiener, Chap. 724, Stats 2021), and SB 225 (Wiener, Chap. 601, Stats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6BAD" w14:textId="77777777" w:rsidR="006E00E6" w:rsidRPr="00E22795" w:rsidRDefault="006E00E6">
    <w:pPr>
      <w:pStyle w:val="Header"/>
      <w:jc w:val="center"/>
      <w:rPr>
        <w:rFonts w:ascii="Arial" w:hAnsi="Arial" w:cs="Arial"/>
        <w:color w:val="1C4F9D"/>
        <w:spacing w:val="-2"/>
        <w:kern w:val="2"/>
        <w:sz w:val="24"/>
        <w:szCs w:val="24"/>
        <w14:ligatures w14:val="standardContextual"/>
      </w:rPr>
    </w:pPr>
    <w:r w:rsidRPr="00E22795">
      <w:rPr>
        <w:rFonts w:ascii="Arial" w:hAnsi="Arial" w:cs="Arial"/>
        <w:color w:val="1C4F9D"/>
        <w:spacing w:val="-2"/>
        <w:kern w:val="2"/>
        <w:sz w:val="24"/>
        <w:szCs w:val="24"/>
        <w14:ligatures w14:val="standardContextual"/>
      </w:rPr>
      <w:t>Amendments to 28 CCR § 1300.51(d), Item H</w:t>
    </w:r>
  </w:p>
  <w:p w14:paraId="4468B3C6" w14:textId="41314131" w:rsidR="006E00E6" w:rsidRPr="00B857D0" w:rsidRDefault="00974AC7">
    <w:pPr>
      <w:pStyle w:val="Header"/>
      <w:spacing w:after="240"/>
      <w:jc w:val="center"/>
      <w:rPr>
        <w:rFonts w:ascii="Arial" w:hAnsi="Arial" w:cs="Arial"/>
        <w:color w:val="1C4F9D"/>
        <w:spacing w:val="-2"/>
        <w:kern w:val="2"/>
        <w:sz w:val="24"/>
        <w:szCs w:val="24"/>
        <w14:ligatures w14:val="standardContextual"/>
      </w:rPr>
    </w:pPr>
    <w:r>
      <w:rPr>
        <w:rFonts w:ascii="Arial" w:hAnsi="Arial" w:cs="Arial"/>
        <w:color w:val="1C4F9D"/>
        <w:spacing w:val="-2"/>
        <w:kern w:val="2"/>
        <w:sz w:val="24"/>
        <w:szCs w:val="24"/>
        <w14:ligatures w14:val="standardContextual"/>
      </w:rPr>
      <w:t>Issue</w:t>
    </w:r>
    <w:r w:rsidR="00880685">
      <w:rPr>
        <w:rFonts w:ascii="Arial" w:hAnsi="Arial" w:cs="Arial"/>
        <w:color w:val="1C4F9D"/>
        <w:spacing w:val="-2"/>
        <w:kern w:val="2"/>
        <w:sz w:val="24"/>
        <w:szCs w:val="24"/>
        <w14:ligatures w14:val="standardContextual"/>
      </w:rPr>
      <w:t xml:space="preserve"> Date: </w:t>
    </w:r>
    <w:r>
      <w:rPr>
        <w:rFonts w:ascii="Arial" w:hAnsi="Arial" w:cs="Arial"/>
        <w:color w:val="1C4F9D"/>
        <w:spacing w:val="-2"/>
        <w:kern w:val="2"/>
        <w:sz w:val="24"/>
        <w:szCs w:val="24"/>
        <w14:ligatures w14:val="standardContextual"/>
      </w:rPr>
      <w:t>December 14</w:t>
    </w:r>
    <w:r w:rsidR="006E00E6" w:rsidRPr="005E6528">
      <w:rPr>
        <w:rFonts w:ascii="Arial" w:hAnsi="Arial" w:cs="Arial"/>
        <w:color w:val="1C4F9D"/>
        <w:spacing w:val="-2"/>
        <w:kern w:val="2"/>
        <w:sz w:val="24"/>
        <w:szCs w:val="24"/>
        <w14:ligatures w14:val="standardContextual"/>
      </w:rPr>
      <w: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3POyXLjFmw937qcc6/td34uW7wo+HmvGDr4xyG/txzPcj0k9aHQQo8K8b8V9qE5X0yYcRT0u7IZr3Sa15rntAA==" w:salt="h8JTDCRM3/r3P3QdqX8r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A1"/>
    <w:rsid w:val="00040589"/>
    <w:rsid w:val="000C0DF2"/>
    <w:rsid w:val="00151A7F"/>
    <w:rsid w:val="00174C12"/>
    <w:rsid w:val="001A0D4E"/>
    <w:rsid w:val="001E758E"/>
    <w:rsid w:val="00202859"/>
    <w:rsid w:val="00294C60"/>
    <w:rsid w:val="002C2C78"/>
    <w:rsid w:val="002C4F15"/>
    <w:rsid w:val="002E0096"/>
    <w:rsid w:val="00313AD1"/>
    <w:rsid w:val="003900ED"/>
    <w:rsid w:val="0041547E"/>
    <w:rsid w:val="00421638"/>
    <w:rsid w:val="004423B5"/>
    <w:rsid w:val="00462172"/>
    <w:rsid w:val="00594B8C"/>
    <w:rsid w:val="005E6528"/>
    <w:rsid w:val="006063E7"/>
    <w:rsid w:val="00606920"/>
    <w:rsid w:val="00656931"/>
    <w:rsid w:val="00694980"/>
    <w:rsid w:val="006A13F2"/>
    <w:rsid w:val="006E00E6"/>
    <w:rsid w:val="007478D0"/>
    <w:rsid w:val="00756897"/>
    <w:rsid w:val="00760EDF"/>
    <w:rsid w:val="00783BED"/>
    <w:rsid w:val="00784E6B"/>
    <w:rsid w:val="007E5A33"/>
    <w:rsid w:val="007E7E07"/>
    <w:rsid w:val="00880685"/>
    <w:rsid w:val="008A6A98"/>
    <w:rsid w:val="008F6CFA"/>
    <w:rsid w:val="009568A1"/>
    <w:rsid w:val="00974AC7"/>
    <w:rsid w:val="00990A62"/>
    <w:rsid w:val="00A73DC6"/>
    <w:rsid w:val="00AB09FE"/>
    <w:rsid w:val="00AB3BA3"/>
    <w:rsid w:val="00B03CCA"/>
    <w:rsid w:val="00B05F30"/>
    <w:rsid w:val="00B65389"/>
    <w:rsid w:val="00C34970"/>
    <w:rsid w:val="00C95771"/>
    <w:rsid w:val="00CB2C37"/>
    <w:rsid w:val="00D20D7F"/>
    <w:rsid w:val="00D33B4D"/>
    <w:rsid w:val="00D9266C"/>
    <w:rsid w:val="00DF1141"/>
    <w:rsid w:val="00E4026F"/>
    <w:rsid w:val="00E44B56"/>
    <w:rsid w:val="00E52B36"/>
    <w:rsid w:val="00E65843"/>
    <w:rsid w:val="00EF2B7B"/>
    <w:rsid w:val="00FA7CC6"/>
    <w:rsid w:val="00FE09D6"/>
    <w:rsid w:val="00FE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88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8A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8A1"/>
    <w:pPr>
      <w:autoSpaceDE w:val="0"/>
      <w:autoSpaceDN w:val="0"/>
      <w:adjustRightInd w:val="0"/>
      <w:spacing w:after="0" w:line="240" w:lineRule="auto"/>
    </w:pPr>
    <w:rPr>
      <w:rFonts w:ascii="Century Schoolbook" w:hAnsi="Century Schoolbook" w:cs="Century Schoolbook"/>
      <w:color w:val="000000"/>
      <w:kern w:val="0"/>
      <w:sz w:val="24"/>
      <w:szCs w:val="24"/>
    </w:rPr>
  </w:style>
  <w:style w:type="paragraph" w:styleId="Header">
    <w:name w:val="header"/>
    <w:basedOn w:val="Normal"/>
    <w:link w:val="HeaderChar"/>
    <w:uiPriority w:val="99"/>
    <w:unhideWhenUsed/>
    <w:rsid w:val="00956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8A1"/>
    <w:rPr>
      <w:kern w:val="0"/>
      <w14:ligatures w14:val="none"/>
    </w:rPr>
  </w:style>
  <w:style w:type="paragraph" w:styleId="Footer">
    <w:name w:val="footer"/>
    <w:basedOn w:val="Normal"/>
    <w:link w:val="FooterChar"/>
    <w:uiPriority w:val="99"/>
    <w:unhideWhenUsed/>
    <w:rsid w:val="0095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8A1"/>
    <w:rPr>
      <w:kern w:val="0"/>
      <w14:ligatures w14:val="none"/>
    </w:rPr>
  </w:style>
  <w:style w:type="paragraph" w:styleId="FootnoteText">
    <w:name w:val="footnote text"/>
    <w:basedOn w:val="Normal"/>
    <w:link w:val="FootnoteTextChar"/>
    <w:uiPriority w:val="99"/>
    <w:semiHidden/>
    <w:unhideWhenUsed/>
    <w:rsid w:val="00956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8A1"/>
    <w:rPr>
      <w:kern w:val="0"/>
      <w:sz w:val="20"/>
      <w:szCs w:val="20"/>
      <w14:ligatures w14:val="none"/>
    </w:rPr>
  </w:style>
  <w:style w:type="character" w:styleId="FootnoteReference">
    <w:name w:val="footnote reference"/>
    <w:basedOn w:val="DefaultParagraphFont"/>
    <w:uiPriority w:val="99"/>
    <w:semiHidden/>
    <w:unhideWhenUsed/>
    <w:rsid w:val="009568A1"/>
    <w:rPr>
      <w:vertAlign w:val="superscript"/>
    </w:rPr>
  </w:style>
  <w:style w:type="character" w:styleId="CommentReference">
    <w:name w:val="annotation reference"/>
    <w:basedOn w:val="DefaultParagraphFont"/>
    <w:uiPriority w:val="99"/>
    <w:semiHidden/>
    <w:unhideWhenUsed/>
    <w:rsid w:val="00E65843"/>
    <w:rPr>
      <w:sz w:val="16"/>
      <w:szCs w:val="16"/>
    </w:rPr>
  </w:style>
  <w:style w:type="paragraph" w:styleId="CommentText">
    <w:name w:val="annotation text"/>
    <w:basedOn w:val="Normal"/>
    <w:link w:val="CommentTextChar"/>
    <w:uiPriority w:val="99"/>
    <w:unhideWhenUsed/>
    <w:rsid w:val="00E65843"/>
    <w:pPr>
      <w:spacing w:line="240" w:lineRule="auto"/>
    </w:pPr>
    <w:rPr>
      <w:sz w:val="20"/>
      <w:szCs w:val="20"/>
    </w:rPr>
  </w:style>
  <w:style w:type="character" w:customStyle="1" w:styleId="CommentTextChar">
    <w:name w:val="Comment Text Char"/>
    <w:basedOn w:val="DefaultParagraphFont"/>
    <w:link w:val="CommentText"/>
    <w:uiPriority w:val="99"/>
    <w:rsid w:val="00E6584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5843"/>
    <w:rPr>
      <w:b/>
      <w:bCs/>
    </w:rPr>
  </w:style>
  <w:style w:type="character" w:customStyle="1" w:styleId="CommentSubjectChar">
    <w:name w:val="Comment Subject Char"/>
    <w:basedOn w:val="CommentTextChar"/>
    <w:link w:val="CommentSubject"/>
    <w:uiPriority w:val="99"/>
    <w:semiHidden/>
    <w:rsid w:val="00E6584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E3A21830-E679-47CD-841E-842617C3C053}"/>
</file>

<file path=customXml/itemProps2.xml><?xml version="1.0" encoding="utf-8"?>
<ds:datastoreItem xmlns:ds="http://schemas.openxmlformats.org/officeDocument/2006/customXml" ds:itemID="{B68C0D1D-4883-4039-9F3E-6E33000338B5}"/>
</file>

<file path=customXml/itemProps3.xml><?xml version="1.0" encoding="utf-8"?>
<ds:datastoreItem xmlns:ds="http://schemas.openxmlformats.org/officeDocument/2006/customXml" ds:itemID="{C2C3054D-A04B-4E22-8D4A-09E76B7872E4}"/>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2023-12-12T19:26:00Z</dcterms:created>
  <dcterms:modified xsi:type="dcterms:W3CDTF">2023-12-12T19:27:00Z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452e43080d0bb4b9d250e2ab827b82509dc5925cf44f8738cd7004e6524b688c</vt:lpwstr>
  </property>
</Properties>
</file>