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3B24B" w14:textId="723E094B" w:rsidR="00E01114" w:rsidRPr="00307373" w:rsidRDefault="00E01114" w:rsidP="00C27F1F">
      <w:pPr>
        <w:spacing w:before="480"/>
        <w:jc w:val="center"/>
        <w:rPr>
          <w:rFonts w:ascii="Arial" w:hAnsi="Arial" w:cs="Arial"/>
          <w:b/>
          <w:bCs/>
          <w:sz w:val="28"/>
          <w:szCs w:val="28"/>
        </w:rPr>
      </w:pPr>
      <w:r w:rsidRPr="00E01114">
        <w:rPr>
          <w:rFonts w:ascii="Arial" w:hAnsi="Arial" w:cs="Arial"/>
          <w:b/>
          <w:bCs/>
          <w:sz w:val="28"/>
          <w:szCs w:val="28"/>
        </w:rPr>
        <w:t>Frequently Asked Questions</w:t>
      </w:r>
    </w:p>
    <w:p w14:paraId="08FD7F49" w14:textId="0675DAA6" w:rsidR="00E01114" w:rsidRPr="00FC3D50" w:rsidRDefault="0074194B" w:rsidP="00192445">
      <w:pPr>
        <w:spacing w:after="600"/>
        <w:rPr>
          <w:rFonts w:ascii="Arial" w:hAnsi="Arial" w:cs="Arial"/>
          <w:sz w:val="24"/>
          <w:szCs w:val="24"/>
        </w:rPr>
      </w:pPr>
      <w:r w:rsidRPr="00307373">
        <w:rPr>
          <w:rFonts w:ascii="Arial" w:hAnsi="Arial" w:cs="Arial"/>
          <w:sz w:val="24"/>
          <w:szCs w:val="24"/>
        </w:rPr>
        <w:t xml:space="preserve">The Department of Managed Health Care (DMHC) has prepared frequently asked questions (FAQ) </w:t>
      </w:r>
      <w:r w:rsidR="00186DA2">
        <w:rPr>
          <w:rFonts w:ascii="Arial" w:hAnsi="Arial" w:cs="Arial"/>
          <w:sz w:val="24"/>
          <w:szCs w:val="24"/>
        </w:rPr>
        <w:t xml:space="preserve">and responses </w:t>
      </w:r>
      <w:r w:rsidR="007434D1" w:rsidRPr="00FC3D50">
        <w:rPr>
          <w:rFonts w:ascii="Arial" w:hAnsi="Arial" w:cs="Arial"/>
          <w:sz w:val="24"/>
          <w:szCs w:val="24"/>
        </w:rPr>
        <w:t>arising from</w:t>
      </w:r>
      <w:r w:rsidR="007630D6" w:rsidRPr="00FC3D50">
        <w:rPr>
          <w:rFonts w:ascii="Arial" w:hAnsi="Arial" w:cs="Arial"/>
          <w:sz w:val="24"/>
          <w:szCs w:val="24"/>
        </w:rPr>
        <w:t xml:space="preserve"> stakeholder</w:t>
      </w:r>
      <w:r w:rsidR="007434D1" w:rsidRPr="00FC3D50">
        <w:rPr>
          <w:rFonts w:ascii="Arial" w:hAnsi="Arial" w:cs="Arial"/>
          <w:sz w:val="24"/>
          <w:szCs w:val="24"/>
        </w:rPr>
        <w:t xml:space="preserve"> comments</w:t>
      </w:r>
      <w:r w:rsidR="007630D6" w:rsidRPr="00FC3D50">
        <w:rPr>
          <w:rFonts w:ascii="Arial" w:hAnsi="Arial" w:cs="Arial"/>
          <w:sz w:val="24"/>
          <w:szCs w:val="24"/>
        </w:rPr>
        <w:t xml:space="preserve">, </w:t>
      </w:r>
      <w:r w:rsidR="00186DA2" w:rsidRPr="00FC3D50">
        <w:rPr>
          <w:rFonts w:ascii="Arial" w:hAnsi="Arial" w:cs="Arial"/>
          <w:sz w:val="24"/>
          <w:szCs w:val="24"/>
        </w:rPr>
        <w:t xml:space="preserve">and </w:t>
      </w:r>
      <w:r w:rsidRPr="00FC3D50">
        <w:rPr>
          <w:rFonts w:ascii="Arial" w:hAnsi="Arial" w:cs="Arial"/>
          <w:sz w:val="24"/>
          <w:szCs w:val="24"/>
        </w:rPr>
        <w:t>pertinent to the amendments</w:t>
      </w:r>
      <w:r w:rsidR="007630D6" w:rsidRPr="00FC3D50">
        <w:rPr>
          <w:rFonts w:ascii="Arial" w:hAnsi="Arial" w:cs="Arial"/>
          <w:sz w:val="24"/>
          <w:szCs w:val="24"/>
        </w:rPr>
        <w:t xml:space="preserve"> </w:t>
      </w:r>
      <w:r w:rsidR="00FA05CC" w:rsidRPr="00FC3D50">
        <w:rPr>
          <w:rFonts w:ascii="Arial" w:hAnsi="Arial" w:cs="Arial"/>
          <w:sz w:val="24"/>
          <w:szCs w:val="24"/>
        </w:rPr>
        <w:t>to Rules 1300.51 and 1300.67.2 and Incorporated Documents</w:t>
      </w:r>
      <w:r w:rsidR="006804E4" w:rsidRPr="00FC3D50">
        <w:rPr>
          <w:rFonts w:ascii="Arial" w:hAnsi="Arial" w:cs="Arial"/>
          <w:sz w:val="24"/>
          <w:szCs w:val="24"/>
        </w:rPr>
        <w:t>, including n</w:t>
      </w:r>
      <w:r w:rsidR="00FA05CC" w:rsidRPr="00FC3D50">
        <w:rPr>
          <w:rFonts w:ascii="Arial" w:hAnsi="Arial" w:cs="Arial"/>
          <w:sz w:val="24"/>
          <w:szCs w:val="24"/>
        </w:rPr>
        <w:t xml:space="preserve">etwork </w:t>
      </w:r>
      <w:r w:rsidR="006804E4" w:rsidRPr="00FC3D50">
        <w:rPr>
          <w:rFonts w:ascii="Arial" w:hAnsi="Arial" w:cs="Arial"/>
          <w:sz w:val="24"/>
          <w:szCs w:val="24"/>
        </w:rPr>
        <w:t>a</w:t>
      </w:r>
      <w:r w:rsidR="00FA05CC" w:rsidRPr="00FC3D50">
        <w:rPr>
          <w:rFonts w:ascii="Arial" w:hAnsi="Arial" w:cs="Arial"/>
          <w:sz w:val="24"/>
          <w:szCs w:val="24"/>
        </w:rPr>
        <w:t xml:space="preserve">dequacy </w:t>
      </w:r>
      <w:r w:rsidR="006804E4" w:rsidRPr="00FC3D50">
        <w:rPr>
          <w:rFonts w:ascii="Arial" w:hAnsi="Arial" w:cs="Arial"/>
          <w:sz w:val="24"/>
          <w:szCs w:val="24"/>
        </w:rPr>
        <w:t>r</w:t>
      </w:r>
      <w:r w:rsidR="00FA05CC" w:rsidRPr="00FC3D50">
        <w:rPr>
          <w:rFonts w:ascii="Arial" w:hAnsi="Arial" w:cs="Arial"/>
          <w:sz w:val="24"/>
          <w:szCs w:val="24"/>
        </w:rPr>
        <w:t xml:space="preserve">equirements and </w:t>
      </w:r>
      <w:r w:rsidR="006804E4" w:rsidRPr="00FC3D50">
        <w:rPr>
          <w:rFonts w:ascii="Arial" w:hAnsi="Arial" w:cs="Arial"/>
          <w:sz w:val="24"/>
          <w:szCs w:val="24"/>
        </w:rPr>
        <w:t>m</w:t>
      </w:r>
      <w:r w:rsidR="00FA05CC" w:rsidRPr="00FC3D50">
        <w:rPr>
          <w:rFonts w:ascii="Arial" w:hAnsi="Arial" w:cs="Arial"/>
          <w:sz w:val="24"/>
          <w:szCs w:val="24"/>
        </w:rPr>
        <w:t xml:space="preserve">ental </w:t>
      </w:r>
      <w:r w:rsidR="006804E4" w:rsidRPr="00FC3D50">
        <w:rPr>
          <w:rFonts w:ascii="Arial" w:hAnsi="Arial" w:cs="Arial"/>
          <w:sz w:val="24"/>
          <w:szCs w:val="24"/>
        </w:rPr>
        <w:t>h</w:t>
      </w:r>
      <w:r w:rsidR="00FA05CC" w:rsidRPr="00FC3D50">
        <w:rPr>
          <w:rFonts w:ascii="Arial" w:hAnsi="Arial" w:cs="Arial"/>
          <w:sz w:val="24"/>
          <w:szCs w:val="24"/>
        </w:rPr>
        <w:t xml:space="preserve">ealth </w:t>
      </w:r>
      <w:r w:rsidR="006804E4" w:rsidRPr="00FC3D50">
        <w:rPr>
          <w:rFonts w:ascii="Arial" w:hAnsi="Arial" w:cs="Arial"/>
          <w:sz w:val="24"/>
          <w:szCs w:val="24"/>
        </w:rPr>
        <w:t>s</w:t>
      </w:r>
      <w:r w:rsidR="00FA05CC" w:rsidRPr="00FC3D50">
        <w:rPr>
          <w:rFonts w:ascii="Arial" w:hAnsi="Arial" w:cs="Arial"/>
          <w:sz w:val="24"/>
          <w:szCs w:val="24"/>
        </w:rPr>
        <w:t xml:space="preserve">tandards and </w:t>
      </w:r>
      <w:r w:rsidR="006804E4" w:rsidRPr="00FC3D50">
        <w:rPr>
          <w:rFonts w:ascii="Arial" w:hAnsi="Arial" w:cs="Arial"/>
          <w:sz w:val="24"/>
          <w:szCs w:val="24"/>
        </w:rPr>
        <w:t>m</w:t>
      </w:r>
      <w:r w:rsidR="00FA05CC" w:rsidRPr="00FC3D50">
        <w:rPr>
          <w:rFonts w:ascii="Arial" w:hAnsi="Arial" w:cs="Arial"/>
          <w:sz w:val="24"/>
          <w:szCs w:val="24"/>
        </w:rPr>
        <w:t>ethodology for RY 2024</w:t>
      </w:r>
      <w:r w:rsidR="00F92B6F" w:rsidRPr="00FC3D50">
        <w:rPr>
          <w:rFonts w:ascii="Arial" w:hAnsi="Arial" w:cs="Arial"/>
          <w:sz w:val="24"/>
          <w:szCs w:val="24"/>
        </w:rPr>
        <w:t>, as noticed in APL 23-</w:t>
      </w:r>
      <w:r w:rsidR="00E047D4">
        <w:rPr>
          <w:rFonts w:ascii="Arial" w:hAnsi="Arial" w:cs="Arial"/>
          <w:sz w:val="24"/>
          <w:szCs w:val="24"/>
        </w:rPr>
        <w:t>02</w:t>
      </w:r>
      <w:r w:rsidR="005D1740">
        <w:rPr>
          <w:rFonts w:ascii="Arial" w:hAnsi="Arial" w:cs="Arial"/>
          <w:sz w:val="24"/>
          <w:szCs w:val="24"/>
        </w:rPr>
        <w:t>3</w:t>
      </w:r>
      <w:r w:rsidR="00F92B6F" w:rsidRPr="00FC3D50">
        <w:rPr>
          <w:rFonts w:ascii="Arial" w:hAnsi="Arial" w:cs="Arial"/>
          <w:sz w:val="24"/>
          <w:szCs w:val="24"/>
        </w:rPr>
        <w:t>.</w:t>
      </w:r>
    </w:p>
    <w:p w14:paraId="7BAF0BA7" w14:textId="32588545" w:rsidR="00D048A7" w:rsidRPr="00FC3D50" w:rsidRDefault="005777DD" w:rsidP="003A581E">
      <w:pPr>
        <w:pStyle w:val="AccessibleHeader"/>
        <w:spacing w:before="0"/>
        <w:rPr>
          <w:b w:val="0"/>
        </w:rPr>
      </w:pPr>
      <w:r w:rsidRPr="00FC3D50">
        <w:t>General FAQ</w:t>
      </w:r>
      <w:r w:rsidR="00BB2556" w:rsidRPr="00FC3D50">
        <w:t xml:space="preserve"> Responses</w:t>
      </w:r>
      <w:r w:rsidRPr="00FC3D50">
        <w:t>:</w:t>
      </w:r>
    </w:p>
    <w:p w14:paraId="54E696F5" w14:textId="5CF07DD5" w:rsidR="005777DD" w:rsidRPr="00FC3D50" w:rsidRDefault="005777DD" w:rsidP="00C2129F">
      <w:pPr>
        <w:pStyle w:val="ListParagraph"/>
        <w:numPr>
          <w:ilvl w:val="0"/>
          <w:numId w:val="9"/>
        </w:numPr>
        <w:spacing w:after="240"/>
        <w:contextualSpacing w:val="0"/>
        <w:rPr>
          <w:rFonts w:ascii="Arial" w:hAnsi="Arial" w:cs="Arial"/>
          <w:sz w:val="24"/>
          <w:szCs w:val="24"/>
        </w:rPr>
      </w:pPr>
      <w:r w:rsidRPr="00FC3D50">
        <w:rPr>
          <w:rFonts w:ascii="Arial" w:hAnsi="Arial" w:cs="Arial"/>
          <w:b/>
          <w:sz w:val="24"/>
          <w:szCs w:val="24"/>
        </w:rPr>
        <w:t>Can the DMHC provide more summary tables explaining the applicability of the new standards and methodologies, to enhance clarity and ease of understanding?</w:t>
      </w:r>
    </w:p>
    <w:p w14:paraId="6838D3AC" w14:textId="1C6E2B89" w:rsidR="006E6C35" w:rsidRPr="00FC3D50" w:rsidRDefault="00912D8D" w:rsidP="00847239">
      <w:pPr>
        <w:spacing w:after="240"/>
        <w:ind w:left="720"/>
        <w:rPr>
          <w:rFonts w:ascii="Arial" w:hAnsi="Arial" w:cs="Arial"/>
          <w:sz w:val="24"/>
          <w:szCs w:val="24"/>
        </w:rPr>
      </w:pPr>
      <w:r w:rsidRPr="00FC3D50">
        <w:rPr>
          <w:rFonts w:ascii="Arial" w:hAnsi="Arial" w:cs="Arial"/>
          <w:sz w:val="24"/>
          <w:szCs w:val="24"/>
        </w:rPr>
        <w:t xml:space="preserve">The DMHC has provided several tables within </w:t>
      </w:r>
      <w:r w:rsidR="008F3FB8" w:rsidRPr="00FC3D50">
        <w:rPr>
          <w:rFonts w:ascii="Arial" w:hAnsi="Arial" w:cs="Arial"/>
          <w:sz w:val="24"/>
          <w:szCs w:val="24"/>
        </w:rPr>
        <w:t xml:space="preserve">schedules attached to the incorporated </w:t>
      </w:r>
      <w:r w:rsidR="00DC1539" w:rsidRPr="00FC3D50">
        <w:rPr>
          <w:rFonts w:ascii="Arial" w:hAnsi="Arial" w:cs="Arial"/>
          <w:sz w:val="24"/>
          <w:szCs w:val="24"/>
        </w:rPr>
        <w:t xml:space="preserve">mental health standards </w:t>
      </w:r>
      <w:r w:rsidR="005C0DB5" w:rsidRPr="00FC3D50">
        <w:rPr>
          <w:rFonts w:ascii="Arial" w:hAnsi="Arial" w:cs="Arial"/>
          <w:sz w:val="24"/>
          <w:szCs w:val="24"/>
        </w:rPr>
        <w:t xml:space="preserve">and methodology </w:t>
      </w:r>
      <w:r w:rsidR="00FE6B7B" w:rsidRPr="00FC3D50">
        <w:rPr>
          <w:rFonts w:ascii="Arial" w:hAnsi="Arial" w:cs="Arial"/>
          <w:sz w:val="24"/>
          <w:szCs w:val="24"/>
        </w:rPr>
        <w:t>documents</w:t>
      </w:r>
      <w:r w:rsidR="008F3FB8" w:rsidRPr="00FC3D50">
        <w:rPr>
          <w:rFonts w:ascii="Arial" w:hAnsi="Arial" w:cs="Arial"/>
          <w:sz w:val="24"/>
          <w:szCs w:val="24"/>
        </w:rPr>
        <w:t>,</w:t>
      </w:r>
      <w:r w:rsidR="00FE6B7B" w:rsidRPr="00FC3D50">
        <w:rPr>
          <w:rFonts w:ascii="Arial" w:hAnsi="Arial" w:cs="Arial"/>
          <w:sz w:val="24"/>
          <w:szCs w:val="24"/>
        </w:rPr>
        <w:t xml:space="preserve"> </w:t>
      </w:r>
      <w:r w:rsidR="00E94B3C" w:rsidRPr="00FC3D50">
        <w:rPr>
          <w:rFonts w:ascii="Arial" w:hAnsi="Arial" w:cs="Arial"/>
          <w:sz w:val="24"/>
          <w:szCs w:val="24"/>
        </w:rPr>
        <w:t xml:space="preserve">to provide examples of </w:t>
      </w:r>
      <w:r w:rsidR="00FE6B7B" w:rsidRPr="00FC3D50">
        <w:rPr>
          <w:rFonts w:ascii="Arial" w:hAnsi="Arial" w:cs="Arial"/>
          <w:sz w:val="24"/>
          <w:szCs w:val="24"/>
        </w:rPr>
        <w:t>the application</w:t>
      </w:r>
      <w:r w:rsidR="00333C6B" w:rsidRPr="00FC3D50">
        <w:rPr>
          <w:rFonts w:ascii="Arial" w:hAnsi="Arial" w:cs="Arial"/>
          <w:sz w:val="24"/>
          <w:szCs w:val="24"/>
        </w:rPr>
        <w:t xml:space="preserve"> of the standards and methodology.</w:t>
      </w:r>
    </w:p>
    <w:p w14:paraId="3C8BBE5F" w14:textId="690FD6D0" w:rsidR="00741C4B" w:rsidRPr="00FC3D50" w:rsidRDefault="006E6C35" w:rsidP="00A57B9B">
      <w:pPr>
        <w:spacing w:after="600"/>
        <w:ind w:left="720"/>
        <w:rPr>
          <w:rFonts w:ascii="Arial" w:hAnsi="Arial" w:cs="Arial"/>
          <w:sz w:val="24"/>
          <w:szCs w:val="24"/>
        </w:rPr>
      </w:pPr>
      <w:r w:rsidRPr="00FC3D50">
        <w:rPr>
          <w:rFonts w:ascii="Arial" w:hAnsi="Arial" w:cs="Arial"/>
          <w:sz w:val="24"/>
          <w:szCs w:val="24"/>
        </w:rPr>
        <w:t>Additionally, t</w:t>
      </w:r>
      <w:r w:rsidR="0049298B" w:rsidRPr="00FC3D50">
        <w:rPr>
          <w:rFonts w:ascii="Arial" w:hAnsi="Arial" w:cs="Arial"/>
          <w:sz w:val="24"/>
          <w:szCs w:val="24"/>
        </w:rPr>
        <w:t>o</w:t>
      </w:r>
      <w:r w:rsidR="005777DD" w:rsidRPr="00FC3D50">
        <w:rPr>
          <w:rFonts w:ascii="Arial" w:hAnsi="Arial" w:cs="Arial"/>
          <w:sz w:val="24"/>
          <w:szCs w:val="24"/>
        </w:rPr>
        <w:t xml:space="preserve"> help </w:t>
      </w:r>
      <w:r w:rsidR="0049298B" w:rsidRPr="00FC3D50">
        <w:rPr>
          <w:rFonts w:ascii="Arial" w:hAnsi="Arial" w:cs="Arial"/>
          <w:sz w:val="24"/>
          <w:szCs w:val="24"/>
        </w:rPr>
        <w:t>p</w:t>
      </w:r>
      <w:r w:rsidR="005777DD" w:rsidRPr="00FC3D50">
        <w:rPr>
          <w:rFonts w:ascii="Arial" w:hAnsi="Arial" w:cs="Arial"/>
          <w:sz w:val="24"/>
          <w:szCs w:val="24"/>
        </w:rPr>
        <w:t xml:space="preserve">lans better understand the applicability of the new standards </w:t>
      </w:r>
      <w:r w:rsidRPr="00FC3D50">
        <w:rPr>
          <w:rFonts w:ascii="Arial" w:hAnsi="Arial" w:cs="Arial"/>
          <w:sz w:val="24"/>
          <w:szCs w:val="24"/>
        </w:rPr>
        <w:t xml:space="preserve">and methodology </w:t>
      </w:r>
      <w:r w:rsidR="00A91A89" w:rsidRPr="00FC3D50">
        <w:rPr>
          <w:rFonts w:ascii="Arial" w:hAnsi="Arial" w:cs="Arial"/>
          <w:sz w:val="24"/>
          <w:szCs w:val="24"/>
        </w:rPr>
        <w:t>the DMHC</w:t>
      </w:r>
      <w:r w:rsidR="00E77496" w:rsidRPr="00FC3D50">
        <w:rPr>
          <w:rFonts w:ascii="Arial" w:hAnsi="Arial" w:cs="Arial"/>
          <w:sz w:val="24"/>
          <w:szCs w:val="24"/>
        </w:rPr>
        <w:t xml:space="preserve"> is providing summary</w:t>
      </w:r>
      <w:r w:rsidR="005777DD" w:rsidRPr="00FC3D50">
        <w:rPr>
          <w:rFonts w:ascii="Arial" w:hAnsi="Arial" w:cs="Arial"/>
          <w:sz w:val="24"/>
          <w:szCs w:val="24"/>
        </w:rPr>
        <w:t xml:space="preserve"> tables </w:t>
      </w:r>
      <w:r w:rsidR="00A37985" w:rsidRPr="00FC3D50">
        <w:rPr>
          <w:rFonts w:ascii="Arial" w:hAnsi="Arial" w:cs="Arial"/>
          <w:sz w:val="24"/>
          <w:szCs w:val="24"/>
        </w:rPr>
        <w:t>for the following new mental health standards for R</w:t>
      </w:r>
      <w:r w:rsidR="0067366E" w:rsidRPr="00FC3D50">
        <w:rPr>
          <w:rFonts w:ascii="Arial" w:hAnsi="Arial" w:cs="Arial"/>
          <w:sz w:val="24"/>
          <w:szCs w:val="24"/>
        </w:rPr>
        <w:t xml:space="preserve">eporting </w:t>
      </w:r>
      <w:r w:rsidR="00A37985" w:rsidRPr="00FC3D50">
        <w:rPr>
          <w:rFonts w:ascii="Arial" w:hAnsi="Arial" w:cs="Arial"/>
          <w:sz w:val="24"/>
          <w:szCs w:val="24"/>
        </w:rPr>
        <w:t>Y</w:t>
      </w:r>
      <w:r w:rsidR="0067366E" w:rsidRPr="00FC3D50">
        <w:rPr>
          <w:rFonts w:ascii="Arial" w:hAnsi="Arial" w:cs="Arial"/>
          <w:sz w:val="24"/>
          <w:szCs w:val="24"/>
        </w:rPr>
        <w:t>ear (</w:t>
      </w:r>
      <w:r w:rsidR="00A37985" w:rsidRPr="00FC3D50">
        <w:rPr>
          <w:rFonts w:ascii="Arial" w:hAnsi="Arial" w:cs="Arial"/>
          <w:sz w:val="24"/>
          <w:szCs w:val="24"/>
        </w:rPr>
        <w:t>RY</w:t>
      </w:r>
      <w:r w:rsidR="0067366E" w:rsidRPr="00FC3D50">
        <w:rPr>
          <w:rFonts w:ascii="Arial" w:hAnsi="Arial" w:cs="Arial"/>
          <w:sz w:val="24"/>
          <w:szCs w:val="24"/>
        </w:rPr>
        <w:t>)</w:t>
      </w:r>
      <w:r w:rsidR="00A37985" w:rsidRPr="00FC3D50">
        <w:rPr>
          <w:rFonts w:ascii="Arial" w:hAnsi="Arial" w:cs="Arial"/>
          <w:sz w:val="24"/>
          <w:szCs w:val="24"/>
        </w:rPr>
        <w:t xml:space="preserve"> 2024: The Mental Health Geographic Access Standards and Methodology and the Counseling Non-Physician Mental Health Professionals </w:t>
      </w:r>
      <w:r w:rsidR="00200077" w:rsidRPr="00FC3D50">
        <w:rPr>
          <w:rFonts w:ascii="Arial" w:hAnsi="Arial" w:cs="Arial"/>
          <w:sz w:val="24"/>
          <w:szCs w:val="24"/>
        </w:rPr>
        <w:t>Ratio</w:t>
      </w:r>
      <w:r w:rsidR="00A37985" w:rsidRPr="00FC3D50">
        <w:rPr>
          <w:rFonts w:ascii="Arial" w:hAnsi="Arial" w:cs="Arial"/>
          <w:sz w:val="24"/>
          <w:szCs w:val="24"/>
        </w:rPr>
        <w:t xml:space="preserve"> Standards and Methodology.</w:t>
      </w:r>
      <w:r w:rsidR="005777DD" w:rsidRPr="00FC3D50">
        <w:rPr>
          <w:rFonts w:ascii="Arial" w:hAnsi="Arial" w:cs="Arial"/>
          <w:sz w:val="24"/>
          <w:szCs w:val="24"/>
        </w:rPr>
        <w:t xml:space="preserve"> These tables are applicable to RY 2024 only</w:t>
      </w:r>
      <w:r w:rsidR="0049298B" w:rsidRPr="00FC3D50">
        <w:rPr>
          <w:rFonts w:ascii="Arial" w:hAnsi="Arial" w:cs="Arial"/>
          <w:sz w:val="24"/>
          <w:szCs w:val="24"/>
        </w:rPr>
        <w:t xml:space="preserve">. </w:t>
      </w:r>
      <w:r w:rsidR="00526958" w:rsidRPr="00FC3D50">
        <w:rPr>
          <w:rFonts w:ascii="Arial" w:hAnsi="Arial" w:cs="Arial"/>
          <w:sz w:val="24"/>
          <w:szCs w:val="24"/>
        </w:rPr>
        <w:t xml:space="preserve">Please see the </w:t>
      </w:r>
      <w:r w:rsidR="00272CA8" w:rsidRPr="00FC3D50">
        <w:rPr>
          <w:rFonts w:ascii="Arial" w:hAnsi="Arial" w:cs="Arial"/>
          <w:sz w:val="24"/>
          <w:szCs w:val="24"/>
        </w:rPr>
        <w:t>table</w:t>
      </w:r>
      <w:r w:rsidR="008F2BA4" w:rsidRPr="00FC3D50">
        <w:rPr>
          <w:rFonts w:ascii="Arial" w:hAnsi="Arial" w:cs="Arial"/>
          <w:sz w:val="24"/>
          <w:szCs w:val="24"/>
        </w:rPr>
        <w:t>s</w:t>
      </w:r>
      <w:r w:rsidR="00272CA8" w:rsidRPr="00FC3D50">
        <w:rPr>
          <w:rFonts w:ascii="Arial" w:hAnsi="Arial" w:cs="Arial"/>
          <w:sz w:val="24"/>
          <w:szCs w:val="24"/>
        </w:rPr>
        <w:t xml:space="preserve"> </w:t>
      </w:r>
      <w:r w:rsidR="002538C8" w:rsidRPr="00FC3D50">
        <w:rPr>
          <w:rFonts w:ascii="Arial" w:hAnsi="Arial" w:cs="Arial"/>
          <w:sz w:val="24"/>
          <w:szCs w:val="24"/>
        </w:rPr>
        <w:t>attached to this APL</w:t>
      </w:r>
      <w:r w:rsidR="00272CA8" w:rsidRPr="00FC3D50">
        <w:rPr>
          <w:rFonts w:ascii="Arial" w:hAnsi="Arial" w:cs="Arial"/>
          <w:sz w:val="24"/>
          <w:szCs w:val="24"/>
        </w:rPr>
        <w:t xml:space="preserve">, </w:t>
      </w:r>
      <w:r w:rsidR="000C26CF" w:rsidRPr="00FC3D50">
        <w:rPr>
          <w:rFonts w:ascii="Arial" w:hAnsi="Arial" w:cs="Arial"/>
          <w:sz w:val="24"/>
          <w:szCs w:val="24"/>
        </w:rPr>
        <w:t>entitled:</w:t>
      </w:r>
      <w:r w:rsidR="00526958" w:rsidRPr="00FC3D50">
        <w:rPr>
          <w:rFonts w:ascii="Arial" w:hAnsi="Arial" w:cs="Arial"/>
          <w:sz w:val="24"/>
          <w:szCs w:val="24"/>
        </w:rPr>
        <w:t xml:space="preserve"> </w:t>
      </w:r>
      <w:r w:rsidR="00A17CB5" w:rsidRPr="00FC3D50">
        <w:rPr>
          <w:rFonts w:ascii="Arial" w:hAnsi="Arial" w:cs="Arial"/>
          <w:b/>
          <w:bCs/>
          <w:sz w:val="24"/>
          <w:szCs w:val="24"/>
        </w:rPr>
        <w:t xml:space="preserve">Mental Health Standards - </w:t>
      </w:r>
      <w:r w:rsidR="00AD70B2" w:rsidRPr="00FC3D50">
        <w:rPr>
          <w:rFonts w:ascii="Arial" w:hAnsi="Arial" w:cs="Arial"/>
          <w:b/>
          <w:bCs/>
          <w:sz w:val="24"/>
          <w:szCs w:val="24"/>
        </w:rPr>
        <w:t>Summary Tables</w:t>
      </w:r>
      <w:r w:rsidR="002538C8" w:rsidRPr="00FC3D50">
        <w:rPr>
          <w:rFonts w:ascii="Arial" w:hAnsi="Arial" w:cs="Arial"/>
          <w:b/>
          <w:bCs/>
          <w:sz w:val="24"/>
          <w:szCs w:val="24"/>
        </w:rPr>
        <w:t xml:space="preserve"> for RY 2024</w:t>
      </w:r>
      <w:r w:rsidR="00AD70B2" w:rsidRPr="00FC3D50">
        <w:rPr>
          <w:rFonts w:ascii="Arial" w:hAnsi="Arial" w:cs="Arial"/>
          <w:sz w:val="24"/>
          <w:szCs w:val="24"/>
        </w:rPr>
        <w:t>.</w:t>
      </w:r>
    </w:p>
    <w:p w14:paraId="72502923" w14:textId="5DDBC660" w:rsidR="00BB3713" w:rsidRPr="00FC3D50" w:rsidRDefault="00BB3713" w:rsidP="00533FE5">
      <w:pPr>
        <w:pStyle w:val="ListParagraph"/>
        <w:numPr>
          <w:ilvl w:val="0"/>
          <w:numId w:val="9"/>
        </w:numPr>
        <w:spacing w:after="240"/>
        <w:contextualSpacing w:val="0"/>
        <w:rPr>
          <w:rFonts w:ascii="Arial" w:hAnsi="Arial" w:cs="Arial"/>
          <w:b/>
          <w:bCs/>
          <w:sz w:val="24"/>
          <w:szCs w:val="24"/>
        </w:rPr>
      </w:pPr>
      <w:r w:rsidRPr="00FC3D50">
        <w:rPr>
          <w:rFonts w:ascii="Arial" w:hAnsi="Arial" w:cs="Arial"/>
          <w:b/>
          <w:bCs/>
          <w:sz w:val="24"/>
          <w:szCs w:val="24"/>
        </w:rPr>
        <w:t>The DMHC made amendments to Rule 1300.51, Rule 1300.67.2, and incorporated documents. Which of these amendments apply to filings for the purposes of licensure (e.g., new license application, significant network change amendment filings, and service area expansion and withdrawal filings set forth in Rules 1300.51, Items H &amp; I, 1300.52(f), and 1300.52.4(d))?</w:t>
      </w:r>
    </w:p>
    <w:p w14:paraId="2CAF9ABE" w14:textId="48032579" w:rsidR="00BB3713" w:rsidRPr="00D419BD" w:rsidRDefault="005218FF" w:rsidP="00192445">
      <w:pPr>
        <w:spacing w:after="240"/>
        <w:ind w:left="720"/>
        <w:rPr>
          <w:rFonts w:ascii="Arial" w:hAnsi="Arial" w:cs="Arial"/>
          <w:sz w:val="24"/>
          <w:szCs w:val="24"/>
        </w:rPr>
      </w:pPr>
      <w:r w:rsidRPr="00FC3D50">
        <w:rPr>
          <w:rFonts w:ascii="Arial" w:hAnsi="Arial" w:cs="Arial"/>
          <w:sz w:val="24"/>
          <w:szCs w:val="24"/>
        </w:rPr>
        <w:t>See sections III. and IV of APL 23-</w:t>
      </w:r>
      <w:r w:rsidR="00623882">
        <w:rPr>
          <w:rFonts w:ascii="Arial" w:hAnsi="Arial" w:cs="Arial"/>
          <w:sz w:val="24"/>
          <w:szCs w:val="24"/>
        </w:rPr>
        <w:t>02</w:t>
      </w:r>
      <w:r w:rsidR="005D1740">
        <w:rPr>
          <w:rFonts w:ascii="Arial" w:hAnsi="Arial" w:cs="Arial"/>
          <w:sz w:val="24"/>
          <w:szCs w:val="24"/>
        </w:rPr>
        <w:t>3</w:t>
      </w:r>
      <w:r w:rsidR="00787C0B" w:rsidRPr="00FC3D50">
        <w:rPr>
          <w:rFonts w:ascii="Arial" w:hAnsi="Arial" w:cs="Arial"/>
          <w:sz w:val="24"/>
          <w:szCs w:val="24"/>
        </w:rPr>
        <w:t xml:space="preserve"> for specific information regarding the </w:t>
      </w:r>
      <w:r w:rsidR="00E368E6" w:rsidRPr="00FC3D50">
        <w:rPr>
          <w:rFonts w:ascii="Arial" w:hAnsi="Arial" w:cs="Arial"/>
          <w:sz w:val="24"/>
          <w:szCs w:val="24"/>
        </w:rPr>
        <w:t>applicability</w:t>
      </w:r>
      <w:r w:rsidR="00787C0B" w:rsidRPr="00FC3D50">
        <w:rPr>
          <w:rFonts w:ascii="Arial" w:hAnsi="Arial" w:cs="Arial"/>
          <w:sz w:val="24"/>
          <w:szCs w:val="24"/>
        </w:rPr>
        <w:t xml:space="preserve"> of </w:t>
      </w:r>
      <w:r w:rsidR="00E368E6" w:rsidRPr="00FC3D50">
        <w:rPr>
          <w:rFonts w:ascii="Arial" w:hAnsi="Arial" w:cs="Arial"/>
          <w:sz w:val="24"/>
          <w:szCs w:val="24"/>
        </w:rPr>
        <w:t>the standards and methodologies to network filings</w:t>
      </w:r>
      <w:r w:rsidR="001A41FD" w:rsidRPr="00FC3D50">
        <w:rPr>
          <w:rFonts w:ascii="Arial" w:hAnsi="Arial" w:cs="Arial"/>
          <w:sz w:val="24"/>
          <w:szCs w:val="24"/>
        </w:rPr>
        <w:t>.</w:t>
      </w:r>
      <w:r w:rsidR="00E9773E" w:rsidRPr="00FC3D50">
        <w:rPr>
          <w:rFonts w:ascii="Arial" w:hAnsi="Arial" w:cs="Arial"/>
          <w:sz w:val="24"/>
          <w:szCs w:val="24"/>
        </w:rPr>
        <w:t xml:space="preserve"> </w:t>
      </w:r>
      <w:r w:rsidR="00BB3713" w:rsidRPr="00FC3D50">
        <w:rPr>
          <w:rFonts w:ascii="Arial" w:hAnsi="Arial" w:cs="Arial"/>
          <w:sz w:val="24"/>
          <w:szCs w:val="24"/>
        </w:rPr>
        <w:t>As set forth in</w:t>
      </w:r>
      <w:r w:rsidR="00BB3713" w:rsidRPr="00D419BD">
        <w:rPr>
          <w:rFonts w:ascii="Arial" w:hAnsi="Arial" w:cs="Arial"/>
          <w:sz w:val="24"/>
          <w:szCs w:val="24"/>
        </w:rPr>
        <w:t xml:space="preserve"> </w:t>
      </w:r>
      <w:r w:rsidR="00BB3713" w:rsidRPr="00D419BD">
        <w:rPr>
          <w:rFonts w:ascii="Arial" w:hAnsi="Arial" w:cs="Arial"/>
          <w:sz w:val="24"/>
          <w:szCs w:val="24"/>
        </w:rPr>
        <w:lastRenderedPageBreak/>
        <w:t>the amended Rule 1300.51 and Rule 1300.67.2, the following amendments are applicable to licensure filings:</w:t>
      </w:r>
    </w:p>
    <w:p w14:paraId="67D034E7" w14:textId="77777777" w:rsidR="00BB3713" w:rsidRPr="00D419BD" w:rsidRDefault="00BB3713" w:rsidP="005440D1">
      <w:pPr>
        <w:pStyle w:val="ListParagraph"/>
        <w:keepNext/>
        <w:numPr>
          <w:ilvl w:val="0"/>
          <w:numId w:val="5"/>
        </w:numPr>
        <w:rPr>
          <w:rFonts w:ascii="Arial" w:hAnsi="Arial" w:cs="Arial"/>
          <w:sz w:val="24"/>
          <w:szCs w:val="24"/>
        </w:rPr>
      </w:pPr>
      <w:r w:rsidRPr="00D419BD">
        <w:rPr>
          <w:rFonts w:ascii="Arial" w:hAnsi="Arial" w:cs="Arial"/>
          <w:sz w:val="24"/>
          <w:szCs w:val="24"/>
        </w:rPr>
        <w:t>Amendments to Rule 1300.51(d) Item H; and</w:t>
      </w:r>
    </w:p>
    <w:p w14:paraId="398A5F81" w14:textId="47647785" w:rsidR="00BB3713" w:rsidRPr="00D419BD" w:rsidRDefault="00BB3713" w:rsidP="00347C5F">
      <w:pPr>
        <w:pStyle w:val="ListParagraph"/>
        <w:numPr>
          <w:ilvl w:val="0"/>
          <w:numId w:val="5"/>
        </w:numPr>
        <w:spacing w:after="240"/>
        <w:contextualSpacing w:val="0"/>
        <w:rPr>
          <w:rFonts w:ascii="Arial" w:hAnsi="Arial" w:cs="Arial"/>
          <w:sz w:val="24"/>
          <w:szCs w:val="24"/>
        </w:rPr>
      </w:pPr>
      <w:r w:rsidRPr="00D419BD">
        <w:rPr>
          <w:rFonts w:ascii="Arial" w:hAnsi="Arial" w:cs="Arial"/>
          <w:sz w:val="24"/>
          <w:szCs w:val="24"/>
        </w:rPr>
        <w:t>Amendments to Rule 1300.67.2, unless specifically excluded. This includes the following:</w:t>
      </w:r>
    </w:p>
    <w:p w14:paraId="0C7EACB0" w14:textId="77777777" w:rsidR="00BB3713" w:rsidRPr="00D419BD" w:rsidRDefault="00BB3713" w:rsidP="00597D24">
      <w:pPr>
        <w:pStyle w:val="ListParagraph"/>
        <w:numPr>
          <w:ilvl w:val="1"/>
          <w:numId w:val="5"/>
        </w:numPr>
        <w:ind w:left="1890" w:hanging="450"/>
        <w:rPr>
          <w:rFonts w:ascii="Arial" w:hAnsi="Arial" w:cs="Arial"/>
          <w:sz w:val="24"/>
          <w:szCs w:val="24"/>
        </w:rPr>
      </w:pPr>
      <w:r w:rsidRPr="00D419BD">
        <w:rPr>
          <w:rFonts w:ascii="Arial" w:hAnsi="Arial" w:cs="Arial"/>
          <w:sz w:val="24"/>
          <w:szCs w:val="24"/>
        </w:rPr>
        <w:t>The definitions set forth in Rule 1300.67.2.2(b), and the Definitions section of the Annual Network Submission Instruction Manual shall apply to the plan’s network filings for the purpose of licensure.</w:t>
      </w:r>
    </w:p>
    <w:p w14:paraId="72B380B9" w14:textId="66D42985" w:rsidR="00BB3713" w:rsidRPr="00D419BD" w:rsidRDefault="00BB3713" w:rsidP="00597D24">
      <w:pPr>
        <w:pStyle w:val="ListParagraph"/>
        <w:numPr>
          <w:ilvl w:val="1"/>
          <w:numId w:val="5"/>
        </w:numPr>
        <w:ind w:left="1890" w:hanging="450"/>
        <w:rPr>
          <w:rFonts w:ascii="Arial" w:hAnsi="Arial" w:cs="Arial"/>
          <w:sz w:val="24"/>
          <w:szCs w:val="24"/>
        </w:rPr>
      </w:pPr>
      <w:r w:rsidRPr="00D419BD">
        <w:rPr>
          <w:rFonts w:ascii="Arial" w:hAnsi="Arial" w:cs="Arial"/>
          <w:sz w:val="24"/>
          <w:szCs w:val="24"/>
        </w:rPr>
        <w:t>When evaluating a network for geographic accessibility the DMHC shall rely upon the methodology set forth in the document entitled Geographic Access Measurement Methodology, which is incorporated by reference.</w:t>
      </w:r>
    </w:p>
    <w:p w14:paraId="6B5E4086" w14:textId="77777777" w:rsidR="00BB3713" w:rsidRPr="00D419BD" w:rsidRDefault="00BB3713" w:rsidP="00347C5F">
      <w:pPr>
        <w:pStyle w:val="ListParagraph"/>
        <w:numPr>
          <w:ilvl w:val="1"/>
          <w:numId w:val="5"/>
        </w:numPr>
        <w:spacing w:after="240"/>
        <w:ind w:left="1886" w:hanging="446"/>
        <w:contextualSpacing w:val="0"/>
        <w:rPr>
          <w:rFonts w:ascii="Arial" w:hAnsi="Arial" w:cs="Arial"/>
          <w:sz w:val="24"/>
          <w:szCs w:val="24"/>
        </w:rPr>
      </w:pPr>
      <w:r w:rsidRPr="00D419BD">
        <w:rPr>
          <w:rFonts w:ascii="Arial" w:hAnsi="Arial" w:cs="Arial"/>
          <w:sz w:val="24"/>
          <w:szCs w:val="24"/>
        </w:rPr>
        <w:t>Within each network, the plan shall ensure sufficient providers are accepting new patients such as to ensure timely access to care for all enrollees.</w:t>
      </w:r>
    </w:p>
    <w:p w14:paraId="19DE56AF" w14:textId="5A4CD5AC" w:rsidR="00BB3713" w:rsidRPr="00D419BD" w:rsidRDefault="00BB3713" w:rsidP="00597D24">
      <w:pPr>
        <w:spacing w:after="600"/>
        <w:ind w:left="720"/>
        <w:rPr>
          <w:rFonts w:ascii="Arial" w:hAnsi="Arial" w:cs="Arial"/>
          <w:sz w:val="24"/>
          <w:szCs w:val="24"/>
        </w:rPr>
      </w:pPr>
      <w:r w:rsidRPr="00D419BD">
        <w:rPr>
          <w:rFonts w:ascii="Arial" w:hAnsi="Arial" w:cs="Arial"/>
          <w:sz w:val="24"/>
          <w:szCs w:val="24"/>
        </w:rPr>
        <w:t>The Mental Health Geographic Access Standards and Methodology, the Counseling Non-Physician Mental Health Professional Ratio Standards and Methodology, and the Mental Health Professionals Accepting New Patient Standards and Methodology</w:t>
      </w:r>
      <w:r w:rsidR="002524F2" w:rsidRPr="00D419BD">
        <w:rPr>
          <w:rFonts w:ascii="Arial" w:hAnsi="Arial" w:cs="Arial"/>
          <w:sz w:val="24"/>
          <w:szCs w:val="24"/>
        </w:rPr>
        <w:t xml:space="preserve"> </w:t>
      </w:r>
      <w:r w:rsidR="00454A9E" w:rsidRPr="00D419BD">
        <w:rPr>
          <w:rFonts w:ascii="Arial" w:hAnsi="Arial" w:cs="Arial"/>
          <w:sz w:val="24"/>
          <w:szCs w:val="24"/>
        </w:rPr>
        <w:t>incorporated in Rule 1300.67.2</w:t>
      </w:r>
      <w:r w:rsidR="002524F2" w:rsidRPr="00D419BD">
        <w:rPr>
          <w:rFonts w:ascii="Arial" w:hAnsi="Arial" w:cs="Arial"/>
          <w:sz w:val="24"/>
          <w:szCs w:val="24"/>
        </w:rPr>
        <w:t xml:space="preserve"> </w:t>
      </w:r>
      <w:r w:rsidR="00237900" w:rsidRPr="00D419BD">
        <w:rPr>
          <w:rFonts w:ascii="Arial" w:hAnsi="Arial" w:cs="Arial"/>
          <w:sz w:val="24"/>
          <w:szCs w:val="24"/>
        </w:rPr>
        <w:t xml:space="preserve">specifically </w:t>
      </w:r>
      <w:r w:rsidR="00B1188B" w:rsidRPr="00D419BD">
        <w:rPr>
          <w:rFonts w:ascii="Arial" w:hAnsi="Arial" w:cs="Arial"/>
          <w:sz w:val="24"/>
          <w:szCs w:val="24"/>
        </w:rPr>
        <w:t>describe</w:t>
      </w:r>
      <w:r w:rsidR="00237900" w:rsidRPr="00D419BD">
        <w:rPr>
          <w:rFonts w:ascii="Arial" w:hAnsi="Arial" w:cs="Arial"/>
          <w:sz w:val="24"/>
          <w:szCs w:val="24"/>
        </w:rPr>
        <w:t xml:space="preserve"> the review methodology for the Annual Network Review</w:t>
      </w:r>
      <w:r w:rsidRPr="00D419BD">
        <w:rPr>
          <w:rFonts w:ascii="Arial" w:hAnsi="Arial" w:cs="Arial"/>
          <w:sz w:val="24"/>
          <w:szCs w:val="24"/>
        </w:rPr>
        <w:t>. Nevertheless, the DMHC may consider the mental health network adequacy standards and methodology documents incorporated in Rule 1300.67.2 when determining whether services are readily available and accessible to each of the Plan’s enrollees in its review of licensure filings.</w:t>
      </w:r>
    </w:p>
    <w:p w14:paraId="0776DA35" w14:textId="1CD567BC" w:rsidR="005777DD" w:rsidRPr="00D64041" w:rsidRDefault="005777DD" w:rsidP="00D64041">
      <w:pPr>
        <w:pStyle w:val="ListParagraph"/>
        <w:numPr>
          <w:ilvl w:val="0"/>
          <w:numId w:val="9"/>
        </w:numPr>
        <w:spacing w:after="240"/>
        <w:contextualSpacing w:val="0"/>
        <w:rPr>
          <w:rFonts w:ascii="Arial" w:hAnsi="Arial" w:cs="Arial"/>
          <w:b/>
          <w:bCs/>
          <w:sz w:val="24"/>
          <w:szCs w:val="24"/>
        </w:rPr>
      </w:pPr>
      <w:r w:rsidRPr="00D64041">
        <w:rPr>
          <w:rFonts w:ascii="Arial" w:hAnsi="Arial" w:cs="Arial"/>
          <w:b/>
          <w:bCs/>
          <w:sz w:val="24"/>
          <w:szCs w:val="24"/>
        </w:rPr>
        <w:t xml:space="preserve">Does the DMHC review networks with no enrollment </w:t>
      </w:r>
      <w:r w:rsidR="00577646" w:rsidRPr="00D64041">
        <w:rPr>
          <w:rFonts w:ascii="Arial" w:hAnsi="Arial" w:cs="Arial"/>
          <w:b/>
          <w:bCs/>
          <w:sz w:val="24"/>
          <w:szCs w:val="24"/>
        </w:rPr>
        <w:t xml:space="preserve">when reviewing </w:t>
      </w:r>
      <w:r w:rsidR="0049298B" w:rsidRPr="00D64041">
        <w:rPr>
          <w:rFonts w:ascii="Arial" w:hAnsi="Arial" w:cs="Arial"/>
          <w:b/>
          <w:bCs/>
          <w:sz w:val="24"/>
          <w:szCs w:val="24"/>
        </w:rPr>
        <w:t xml:space="preserve">Annual Network Report submissions </w:t>
      </w:r>
      <w:r w:rsidR="009548CE" w:rsidRPr="00D64041">
        <w:rPr>
          <w:rFonts w:ascii="Arial" w:hAnsi="Arial" w:cs="Arial"/>
          <w:b/>
          <w:bCs/>
          <w:sz w:val="24"/>
          <w:szCs w:val="24"/>
        </w:rPr>
        <w:t xml:space="preserve">from plans </w:t>
      </w:r>
      <w:r w:rsidR="0049298B" w:rsidRPr="00D64041">
        <w:rPr>
          <w:rFonts w:ascii="Arial" w:hAnsi="Arial" w:cs="Arial"/>
          <w:b/>
          <w:bCs/>
          <w:sz w:val="24"/>
          <w:szCs w:val="24"/>
        </w:rPr>
        <w:t xml:space="preserve">for compliance with </w:t>
      </w:r>
      <w:r w:rsidRPr="00D64041">
        <w:rPr>
          <w:rFonts w:ascii="Arial" w:hAnsi="Arial" w:cs="Arial"/>
          <w:b/>
          <w:bCs/>
          <w:sz w:val="24"/>
          <w:szCs w:val="24"/>
        </w:rPr>
        <w:t>the mental health standards and methodologies?</w:t>
      </w:r>
    </w:p>
    <w:p w14:paraId="3CB637D7" w14:textId="54E79CB9" w:rsidR="005777DD" w:rsidRPr="00D419BD" w:rsidRDefault="005777DD" w:rsidP="00F4574C">
      <w:pPr>
        <w:spacing w:after="240"/>
        <w:ind w:left="720"/>
        <w:rPr>
          <w:rFonts w:ascii="Arial" w:hAnsi="Arial" w:cs="Arial"/>
          <w:sz w:val="24"/>
          <w:szCs w:val="24"/>
        </w:rPr>
      </w:pPr>
      <w:r w:rsidRPr="00D419BD">
        <w:rPr>
          <w:rFonts w:ascii="Arial" w:hAnsi="Arial" w:cs="Arial"/>
          <w:sz w:val="24"/>
          <w:szCs w:val="24"/>
        </w:rPr>
        <w:t xml:space="preserve">If a Reporting Plan maintains a network in which there is no enrollment on the network capture date and the plan does not anticipate enrollment during the reporting year, the reporting plan may request a waiver of the requirement to submit to the </w:t>
      </w:r>
      <w:r w:rsidR="00977215" w:rsidRPr="00D419BD">
        <w:rPr>
          <w:rFonts w:ascii="Arial" w:hAnsi="Arial" w:cs="Arial"/>
          <w:sz w:val="24"/>
          <w:szCs w:val="24"/>
        </w:rPr>
        <w:t xml:space="preserve">DMHC </w:t>
      </w:r>
      <w:r w:rsidRPr="00D419BD">
        <w:rPr>
          <w:rFonts w:ascii="Arial" w:hAnsi="Arial" w:cs="Arial"/>
          <w:sz w:val="24"/>
          <w:szCs w:val="24"/>
        </w:rPr>
        <w:t xml:space="preserve">all information set forth in Rule 1300.67.2.2(h)(7) for that network by submitting a Notice of Material Modification filing prior to the network capture date of the reporting year. Details concerning waiver requirements are set forth in DMHC APL 22-026 (November 4, 2022), and in the Annual Network Submission Instruction Manual for Reporting </w:t>
      </w:r>
      <w:r w:rsidR="009B3D25" w:rsidRPr="00D419BD">
        <w:rPr>
          <w:rFonts w:ascii="Arial" w:hAnsi="Arial" w:cs="Arial"/>
          <w:sz w:val="24"/>
          <w:szCs w:val="24"/>
        </w:rPr>
        <w:t>Y</w:t>
      </w:r>
      <w:r w:rsidRPr="00D419BD">
        <w:rPr>
          <w:rFonts w:ascii="Arial" w:hAnsi="Arial" w:cs="Arial"/>
          <w:sz w:val="24"/>
          <w:szCs w:val="24"/>
        </w:rPr>
        <w:t>ear 2024.</w:t>
      </w:r>
    </w:p>
    <w:p w14:paraId="45E43758" w14:textId="24DB7429" w:rsidR="000415A1" w:rsidRPr="00D419BD" w:rsidRDefault="005966C3" w:rsidP="00597D24">
      <w:pPr>
        <w:spacing w:after="600"/>
        <w:ind w:left="720"/>
        <w:rPr>
          <w:rFonts w:ascii="Arial" w:hAnsi="Arial" w:cs="Arial"/>
          <w:sz w:val="24"/>
          <w:szCs w:val="24"/>
        </w:rPr>
      </w:pPr>
      <w:r w:rsidRPr="00D419BD">
        <w:rPr>
          <w:rFonts w:ascii="Arial" w:hAnsi="Arial" w:cs="Arial"/>
          <w:sz w:val="24"/>
          <w:szCs w:val="24"/>
        </w:rPr>
        <w:lastRenderedPageBreak/>
        <w:t>For</w:t>
      </w:r>
      <w:r w:rsidR="00D83631" w:rsidRPr="00D419BD">
        <w:rPr>
          <w:rFonts w:ascii="Arial" w:hAnsi="Arial" w:cs="Arial"/>
          <w:sz w:val="24"/>
          <w:szCs w:val="24"/>
        </w:rPr>
        <w:t xml:space="preserve"> the</w:t>
      </w:r>
      <w:r w:rsidRPr="00D419BD">
        <w:rPr>
          <w:rFonts w:ascii="Arial" w:hAnsi="Arial" w:cs="Arial"/>
          <w:sz w:val="24"/>
          <w:szCs w:val="24"/>
        </w:rPr>
        <w:t xml:space="preserve"> RY 2024</w:t>
      </w:r>
      <w:r w:rsidR="00D83631" w:rsidRPr="00D419BD">
        <w:rPr>
          <w:rFonts w:ascii="Arial" w:hAnsi="Arial" w:cs="Arial"/>
          <w:sz w:val="24"/>
          <w:szCs w:val="24"/>
        </w:rPr>
        <w:t xml:space="preserve"> </w:t>
      </w:r>
      <w:r w:rsidR="00BD7136" w:rsidRPr="00D419BD">
        <w:rPr>
          <w:rFonts w:ascii="Arial" w:hAnsi="Arial" w:cs="Arial"/>
          <w:sz w:val="24"/>
          <w:szCs w:val="24"/>
        </w:rPr>
        <w:t>A</w:t>
      </w:r>
      <w:r w:rsidR="00D83631" w:rsidRPr="00D419BD">
        <w:rPr>
          <w:rFonts w:ascii="Arial" w:hAnsi="Arial" w:cs="Arial"/>
          <w:sz w:val="24"/>
          <w:szCs w:val="24"/>
        </w:rPr>
        <w:t xml:space="preserve">nnual </w:t>
      </w:r>
      <w:r w:rsidR="00BD7136" w:rsidRPr="00D419BD">
        <w:rPr>
          <w:rFonts w:ascii="Arial" w:hAnsi="Arial" w:cs="Arial"/>
          <w:sz w:val="24"/>
          <w:szCs w:val="24"/>
        </w:rPr>
        <w:t>N</w:t>
      </w:r>
      <w:r w:rsidR="00D83631" w:rsidRPr="00D419BD">
        <w:rPr>
          <w:rFonts w:ascii="Arial" w:hAnsi="Arial" w:cs="Arial"/>
          <w:sz w:val="24"/>
          <w:szCs w:val="24"/>
        </w:rPr>
        <w:t xml:space="preserve">etwork </w:t>
      </w:r>
      <w:r w:rsidR="00BD7136" w:rsidRPr="00D419BD">
        <w:rPr>
          <w:rFonts w:ascii="Arial" w:hAnsi="Arial" w:cs="Arial"/>
          <w:sz w:val="24"/>
          <w:szCs w:val="24"/>
        </w:rPr>
        <w:t>R</w:t>
      </w:r>
      <w:r w:rsidR="00D83631" w:rsidRPr="00D419BD">
        <w:rPr>
          <w:rFonts w:ascii="Arial" w:hAnsi="Arial" w:cs="Arial"/>
          <w:sz w:val="24"/>
          <w:szCs w:val="24"/>
        </w:rPr>
        <w:t>eview</w:t>
      </w:r>
      <w:r w:rsidRPr="00D419BD">
        <w:rPr>
          <w:rFonts w:ascii="Arial" w:hAnsi="Arial" w:cs="Arial"/>
          <w:sz w:val="24"/>
          <w:szCs w:val="24"/>
        </w:rPr>
        <w:t>, t</w:t>
      </w:r>
      <w:r w:rsidR="00F36D03" w:rsidRPr="00D419BD">
        <w:rPr>
          <w:rFonts w:ascii="Arial" w:hAnsi="Arial" w:cs="Arial"/>
          <w:sz w:val="24"/>
          <w:szCs w:val="24"/>
        </w:rPr>
        <w:t>he DMHC will review all counties within a plan’s network service area for compliance with the mental health standards and methodologies</w:t>
      </w:r>
      <w:r w:rsidR="00D57925" w:rsidRPr="00D419BD">
        <w:rPr>
          <w:rFonts w:ascii="Arial" w:hAnsi="Arial" w:cs="Arial"/>
          <w:sz w:val="24"/>
          <w:szCs w:val="24"/>
        </w:rPr>
        <w:t xml:space="preserve"> set forth in the documents released in the enclosed APL and incorporated in Rule 1300.67.2</w:t>
      </w:r>
      <w:r w:rsidR="00F36D03" w:rsidRPr="00D419BD">
        <w:rPr>
          <w:rFonts w:ascii="Arial" w:hAnsi="Arial" w:cs="Arial"/>
          <w:sz w:val="24"/>
          <w:szCs w:val="24"/>
        </w:rPr>
        <w:t xml:space="preserve">. </w:t>
      </w:r>
      <w:r w:rsidR="005777DD" w:rsidRPr="00D419BD">
        <w:rPr>
          <w:rFonts w:ascii="Arial" w:hAnsi="Arial" w:cs="Arial"/>
          <w:sz w:val="24"/>
          <w:szCs w:val="24"/>
        </w:rPr>
        <w:t xml:space="preserve">If a county within a </w:t>
      </w:r>
      <w:r w:rsidR="0049298B" w:rsidRPr="00D419BD">
        <w:rPr>
          <w:rFonts w:ascii="Arial" w:hAnsi="Arial" w:cs="Arial"/>
          <w:sz w:val="24"/>
          <w:szCs w:val="24"/>
        </w:rPr>
        <w:t xml:space="preserve">plan’s </w:t>
      </w:r>
      <w:r w:rsidR="005777DD" w:rsidRPr="00D419BD">
        <w:rPr>
          <w:rFonts w:ascii="Arial" w:hAnsi="Arial" w:cs="Arial"/>
          <w:sz w:val="24"/>
          <w:szCs w:val="24"/>
        </w:rPr>
        <w:t xml:space="preserve">network </w:t>
      </w:r>
      <w:r w:rsidR="00C54249" w:rsidRPr="00D419BD">
        <w:rPr>
          <w:rFonts w:ascii="Arial" w:hAnsi="Arial" w:cs="Arial"/>
          <w:sz w:val="24"/>
          <w:szCs w:val="24"/>
        </w:rPr>
        <w:t xml:space="preserve">service area </w:t>
      </w:r>
      <w:r w:rsidR="005777DD" w:rsidRPr="00D419BD">
        <w:rPr>
          <w:rFonts w:ascii="Arial" w:hAnsi="Arial" w:cs="Arial"/>
          <w:sz w:val="24"/>
          <w:szCs w:val="24"/>
        </w:rPr>
        <w:t>has zero enrollment</w:t>
      </w:r>
      <w:r w:rsidR="0049298B" w:rsidRPr="00D419BD">
        <w:rPr>
          <w:rFonts w:ascii="Arial" w:hAnsi="Arial" w:cs="Arial"/>
          <w:sz w:val="24"/>
          <w:szCs w:val="24"/>
        </w:rPr>
        <w:t xml:space="preserve"> on the network capture date</w:t>
      </w:r>
      <w:r w:rsidR="005777DD" w:rsidRPr="00D419BD">
        <w:rPr>
          <w:rFonts w:ascii="Arial" w:hAnsi="Arial" w:cs="Arial"/>
          <w:sz w:val="24"/>
          <w:szCs w:val="24"/>
        </w:rPr>
        <w:t xml:space="preserve">, the </w:t>
      </w:r>
      <w:r w:rsidR="00F36D03" w:rsidRPr="00D419BD">
        <w:rPr>
          <w:rFonts w:ascii="Arial" w:hAnsi="Arial" w:cs="Arial"/>
          <w:sz w:val="24"/>
          <w:szCs w:val="24"/>
        </w:rPr>
        <w:t xml:space="preserve">DMHC will review the </w:t>
      </w:r>
      <w:r w:rsidR="002D06FA" w:rsidRPr="00D419BD">
        <w:rPr>
          <w:rFonts w:ascii="Arial" w:hAnsi="Arial" w:cs="Arial"/>
          <w:sz w:val="24"/>
          <w:szCs w:val="24"/>
        </w:rPr>
        <w:t>county</w:t>
      </w:r>
      <w:r w:rsidR="00394FDD" w:rsidRPr="00D419BD">
        <w:rPr>
          <w:rFonts w:ascii="Arial" w:hAnsi="Arial" w:cs="Arial"/>
          <w:sz w:val="24"/>
          <w:szCs w:val="24"/>
        </w:rPr>
        <w:t xml:space="preserve"> </w:t>
      </w:r>
      <w:r w:rsidR="005777DD" w:rsidRPr="00D419BD">
        <w:rPr>
          <w:rFonts w:ascii="Arial" w:hAnsi="Arial" w:cs="Arial"/>
          <w:sz w:val="24"/>
          <w:szCs w:val="24"/>
        </w:rPr>
        <w:t>in accordance with the respective standards and methodology document</w:t>
      </w:r>
      <w:r w:rsidR="00F36D03" w:rsidRPr="00D419BD">
        <w:rPr>
          <w:rFonts w:ascii="Arial" w:hAnsi="Arial" w:cs="Arial"/>
          <w:sz w:val="24"/>
          <w:szCs w:val="24"/>
        </w:rPr>
        <w:t>s</w:t>
      </w:r>
      <w:r w:rsidR="005777DD" w:rsidRPr="00D419BD">
        <w:rPr>
          <w:rFonts w:ascii="Arial" w:hAnsi="Arial" w:cs="Arial"/>
          <w:sz w:val="24"/>
          <w:szCs w:val="24"/>
        </w:rPr>
        <w:t>.</w:t>
      </w:r>
    </w:p>
    <w:p w14:paraId="3BACC7D5" w14:textId="32FE5B68" w:rsidR="00DE26FD" w:rsidRPr="00BB2556" w:rsidRDefault="00FD5AD5" w:rsidP="003A581E">
      <w:pPr>
        <w:pStyle w:val="AccessibleHeader"/>
        <w:spacing w:before="0"/>
        <w:rPr>
          <w:b w:val="0"/>
          <w:bCs w:val="0"/>
        </w:rPr>
      </w:pPr>
      <w:r>
        <w:t xml:space="preserve">Counseling Non-Physician Mental Health Professionals </w:t>
      </w:r>
      <w:r w:rsidR="00DE26FD" w:rsidRPr="00BB2556">
        <w:t>Accepting New Patients</w:t>
      </w:r>
      <w:r w:rsidR="001575F1" w:rsidRPr="00BB2556">
        <w:t xml:space="preserve"> FAQ </w:t>
      </w:r>
      <w:r w:rsidR="00BB2556">
        <w:t>Responses:</w:t>
      </w:r>
    </w:p>
    <w:p w14:paraId="07AB9948" w14:textId="1A1732AD" w:rsidR="00DE26FD" w:rsidRPr="002C1DD9" w:rsidRDefault="00464415" w:rsidP="00572C75">
      <w:pPr>
        <w:pStyle w:val="ListParagraph"/>
        <w:numPr>
          <w:ilvl w:val="0"/>
          <w:numId w:val="10"/>
        </w:numPr>
        <w:spacing w:after="240"/>
        <w:contextualSpacing w:val="0"/>
        <w:rPr>
          <w:rFonts w:ascii="Arial" w:hAnsi="Arial" w:cs="Arial"/>
          <w:b/>
          <w:bCs/>
          <w:sz w:val="24"/>
          <w:szCs w:val="24"/>
        </w:rPr>
      </w:pPr>
      <w:r w:rsidRPr="002C1DD9">
        <w:rPr>
          <w:rFonts w:ascii="Arial" w:hAnsi="Arial" w:cs="Arial"/>
          <w:b/>
          <w:bCs/>
          <w:sz w:val="24"/>
          <w:szCs w:val="24"/>
        </w:rPr>
        <w:t>When reviewing plans according to the</w:t>
      </w:r>
      <w:r w:rsidR="00052DE8" w:rsidRPr="002C1DD9">
        <w:rPr>
          <w:rFonts w:ascii="Arial" w:hAnsi="Arial" w:cs="Arial"/>
          <w:b/>
          <w:bCs/>
          <w:sz w:val="24"/>
          <w:szCs w:val="24"/>
        </w:rPr>
        <w:t xml:space="preserve"> Counseling Non-Physician</w:t>
      </w:r>
      <w:r w:rsidRPr="002C1DD9">
        <w:rPr>
          <w:rFonts w:ascii="Arial" w:hAnsi="Arial" w:cs="Arial"/>
          <w:b/>
          <w:bCs/>
          <w:sz w:val="24"/>
          <w:szCs w:val="24"/>
        </w:rPr>
        <w:t xml:space="preserve"> Mental Health Professionals </w:t>
      </w:r>
      <w:r w:rsidR="00A049A8" w:rsidRPr="002C1DD9">
        <w:rPr>
          <w:rFonts w:ascii="Arial" w:hAnsi="Arial" w:cs="Arial"/>
          <w:b/>
          <w:bCs/>
          <w:sz w:val="24"/>
          <w:szCs w:val="24"/>
        </w:rPr>
        <w:t>(Counseling MHPs)</w:t>
      </w:r>
      <w:r w:rsidRPr="002C1DD9">
        <w:rPr>
          <w:rFonts w:ascii="Arial" w:hAnsi="Arial" w:cs="Arial"/>
          <w:b/>
          <w:bCs/>
          <w:sz w:val="24"/>
          <w:szCs w:val="24"/>
        </w:rPr>
        <w:t xml:space="preserve"> Accepting New Patients Standards and Methodology, why does the DMHC evaluate compliance for each county within the network service area, when enrollees travel and work across different counties?</w:t>
      </w:r>
    </w:p>
    <w:p w14:paraId="2630BB3F" w14:textId="1CC59BD9" w:rsidR="00AC73A3" w:rsidRPr="00D419BD" w:rsidRDefault="000907AB" w:rsidP="00CA454E">
      <w:pPr>
        <w:spacing w:after="240"/>
        <w:ind w:left="720"/>
        <w:rPr>
          <w:rFonts w:ascii="Arial" w:hAnsi="Arial" w:cs="Arial"/>
          <w:sz w:val="24"/>
          <w:szCs w:val="24"/>
        </w:rPr>
      </w:pPr>
      <w:r w:rsidRPr="00D419BD">
        <w:rPr>
          <w:rFonts w:ascii="Arial" w:hAnsi="Arial" w:cs="Arial"/>
          <w:sz w:val="24"/>
          <w:szCs w:val="24"/>
        </w:rPr>
        <w:t xml:space="preserve">The </w:t>
      </w:r>
      <w:r w:rsidR="00583502" w:rsidRPr="00D419BD">
        <w:rPr>
          <w:rFonts w:ascii="Arial" w:hAnsi="Arial" w:cs="Arial"/>
          <w:sz w:val="24"/>
          <w:szCs w:val="24"/>
        </w:rPr>
        <w:t xml:space="preserve">accepting new patients </w:t>
      </w:r>
      <w:r w:rsidR="00BC7113" w:rsidRPr="00D419BD">
        <w:rPr>
          <w:rFonts w:ascii="Arial" w:hAnsi="Arial" w:cs="Arial"/>
          <w:sz w:val="24"/>
          <w:szCs w:val="24"/>
        </w:rPr>
        <w:t xml:space="preserve">compliance threshold for </w:t>
      </w:r>
      <w:r w:rsidR="008654A7" w:rsidRPr="00D419BD">
        <w:rPr>
          <w:rFonts w:ascii="Arial" w:hAnsi="Arial" w:cs="Arial"/>
          <w:sz w:val="24"/>
          <w:szCs w:val="24"/>
        </w:rPr>
        <w:t xml:space="preserve">Counseling MHPs </w:t>
      </w:r>
      <w:r w:rsidR="00DB6841" w:rsidRPr="00D419BD">
        <w:rPr>
          <w:rFonts w:ascii="Arial" w:hAnsi="Arial" w:cs="Arial"/>
          <w:sz w:val="24"/>
          <w:szCs w:val="24"/>
        </w:rPr>
        <w:t xml:space="preserve">is </w:t>
      </w:r>
      <w:r w:rsidR="00EB505B" w:rsidRPr="00D419BD">
        <w:rPr>
          <w:rFonts w:ascii="Arial" w:hAnsi="Arial" w:cs="Arial"/>
          <w:sz w:val="24"/>
          <w:szCs w:val="24"/>
        </w:rPr>
        <w:t>reviewed</w:t>
      </w:r>
      <w:r w:rsidRPr="00D419BD">
        <w:rPr>
          <w:rFonts w:ascii="Arial" w:hAnsi="Arial" w:cs="Arial"/>
          <w:sz w:val="24"/>
          <w:szCs w:val="24"/>
        </w:rPr>
        <w:t xml:space="preserve"> both at the network level and the county level</w:t>
      </w:r>
      <w:r w:rsidR="00E30A4C" w:rsidRPr="00D419BD">
        <w:rPr>
          <w:rFonts w:ascii="Arial" w:hAnsi="Arial" w:cs="Arial"/>
          <w:sz w:val="24"/>
          <w:szCs w:val="24"/>
        </w:rPr>
        <w:t>.</w:t>
      </w:r>
      <w:r w:rsidR="00EB505B" w:rsidRPr="00D419BD">
        <w:rPr>
          <w:rFonts w:ascii="Arial" w:hAnsi="Arial" w:cs="Arial"/>
          <w:sz w:val="24"/>
          <w:szCs w:val="24"/>
        </w:rPr>
        <w:t xml:space="preserve"> This allows the DMHC to </w:t>
      </w:r>
      <w:r w:rsidRPr="00D419BD">
        <w:rPr>
          <w:rFonts w:ascii="Arial" w:hAnsi="Arial" w:cs="Arial"/>
          <w:sz w:val="24"/>
          <w:szCs w:val="24"/>
        </w:rPr>
        <w:t xml:space="preserve">review the availability of providers to treat new patients throughout the counties in </w:t>
      </w:r>
      <w:r w:rsidR="00EB505B" w:rsidRPr="00D419BD">
        <w:rPr>
          <w:rFonts w:ascii="Arial" w:hAnsi="Arial" w:cs="Arial"/>
          <w:sz w:val="24"/>
          <w:szCs w:val="24"/>
        </w:rPr>
        <w:t>a</w:t>
      </w:r>
      <w:r w:rsidRPr="00D419BD">
        <w:rPr>
          <w:rFonts w:ascii="Arial" w:hAnsi="Arial" w:cs="Arial"/>
          <w:sz w:val="24"/>
          <w:szCs w:val="24"/>
        </w:rPr>
        <w:t xml:space="preserve"> plan's designated network.</w:t>
      </w:r>
    </w:p>
    <w:p w14:paraId="363DFE35" w14:textId="5C442354" w:rsidR="00627B3A" w:rsidRPr="00D419BD" w:rsidRDefault="000907AB" w:rsidP="00CA454E">
      <w:pPr>
        <w:spacing w:after="240"/>
        <w:ind w:left="720"/>
        <w:rPr>
          <w:rFonts w:ascii="Arial" w:hAnsi="Arial" w:cs="Arial"/>
          <w:sz w:val="24"/>
          <w:szCs w:val="24"/>
        </w:rPr>
      </w:pPr>
      <w:r w:rsidRPr="00D419BD">
        <w:rPr>
          <w:rFonts w:ascii="Arial" w:hAnsi="Arial" w:cs="Arial"/>
          <w:sz w:val="24"/>
          <w:szCs w:val="24"/>
        </w:rPr>
        <w:t xml:space="preserve">If the </w:t>
      </w:r>
      <w:r w:rsidR="00BD6270" w:rsidRPr="00D419BD">
        <w:rPr>
          <w:rFonts w:ascii="Arial" w:hAnsi="Arial" w:cs="Arial"/>
          <w:sz w:val="24"/>
          <w:szCs w:val="24"/>
        </w:rPr>
        <w:t xml:space="preserve">compliance </w:t>
      </w:r>
      <w:r w:rsidRPr="00D419BD">
        <w:rPr>
          <w:rFonts w:ascii="Arial" w:hAnsi="Arial" w:cs="Arial"/>
          <w:sz w:val="24"/>
          <w:szCs w:val="24"/>
        </w:rPr>
        <w:t xml:space="preserve">threshold </w:t>
      </w:r>
      <w:r w:rsidR="00BC0066" w:rsidRPr="00D419BD">
        <w:rPr>
          <w:rFonts w:ascii="Arial" w:hAnsi="Arial" w:cs="Arial"/>
          <w:sz w:val="24"/>
          <w:szCs w:val="24"/>
        </w:rPr>
        <w:t xml:space="preserve">was </w:t>
      </w:r>
      <w:r w:rsidRPr="00D419BD">
        <w:rPr>
          <w:rFonts w:ascii="Arial" w:hAnsi="Arial" w:cs="Arial"/>
          <w:sz w:val="24"/>
          <w:szCs w:val="24"/>
        </w:rPr>
        <w:t>evaluated only at the network service area level, the D</w:t>
      </w:r>
      <w:r w:rsidR="00BD6270" w:rsidRPr="00D419BD">
        <w:rPr>
          <w:rFonts w:ascii="Arial" w:hAnsi="Arial" w:cs="Arial"/>
          <w:sz w:val="24"/>
          <w:szCs w:val="24"/>
        </w:rPr>
        <w:t>MHC</w:t>
      </w:r>
      <w:r w:rsidRPr="00D419BD">
        <w:rPr>
          <w:rFonts w:ascii="Arial" w:hAnsi="Arial" w:cs="Arial"/>
          <w:sz w:val="24"/>
          <w:szCs w:val="24"/>
        </w:rPr>
        <w:t xml:space="preserve"> would not be able to assure that enrollees in all portions of the network service area have adequate access</w:t>
      </w:r>
      <w:r w:rsidR="00BD6270" w:rsidRPr="00D419BD">
        <w:rPr>
          <w:rFonts w:ascii="Arial" w:hAnsi="Arial" w:cs="Arial"/>
          <w:sz w:val="24"/>
          <w:szCs w:val="24"/>
        </w:rPr>
        <w:t>. Network p</w:t>
      </w:r>
      <w:r w:rsidRPr="00D419BD">
        <w:rPr>
          <w:rFonts w:ascii="Arial" w:hAnsi="Arial" w:cs="Arial"/>
          <w:sz w:val="24"/>
          <w:szCs w:val="24"/>
        </w:rPr>
        <w:t xml:space="preserve">roviders </w:t>
      </w:r>
      <w:r w:rsidR="00BD6270" w:rsidRPr="00D419BD">
        <w:rPr>
          <w:rFonts w:ascii="Arial" w:hAnsi="Arial" w:cs="Arial"/>
          <w:sz w:val="24"/>
          <w:szCs w:val="24"/>
        </w:rPr>
        <w:t>who are a</w:t>
      </w:r>
      <w:r w:rsidRPr="00D419BD">
        <w:rPr>
          <w:rFonts w:ascii="Arial" w:hAnsi="Arial" w:cs="Arial"/>
          <w:sz w:val="24"/>
          <w:szCs w:val="24"/>
        </w:rPr>
        <w:t xml:space="preserve">ccepting new patients could be clustered in only one county or geographic region of the network service area. This is especially true for networks that operate a statewide network service area, as network providers are more likely to be clustered in the more populous regions, thereby increasing the chance a network could meet the network threshold but not have accessible network providers for patients in more remote counties. By calculating the </w:t>
      </w:r>
      <w:r w:rsidR="00AC73A3" w:rsidRPr="00D419BD">
        <w:rPr>
          <w:rFonts w:ascii="Arial" w:hAnsi="Arial" w:cs="Arial"/>
          <w:sz w:val="24"/>
          <w:szCs w:val="24"/>
        </w:rPr>
        <w:t>percentage</w:t>
      </w:r>
      <w:r w:rsidRPr="00D419BD">
        <w:rPr>
          <w:rFonts w:ascii="Arial" w:hAnsi="Arial" w:cs="Arial"/>
          <w:sz w:val="24"/>
          <w:szCs w:val="24"/>
        </w:rPr>
        <w:t xml:space="preserve"> </w:t>
      </w:r>
      <w:r w:rsidR="00AC73A3" w:rsidRPr="00D419BD">
        <w:rPr>
          <w:rFonts w:ascii="Arial" w:hAnsi="Arial" w:cs="Arial"/>
          <w:sz w:val="24"/>
          <w:szCs w:val="24"/>
        </w:rPr>
        <w:t xml:space="preserve">of network providers </w:t>
      </w:r>
      <w:r w:rsidRPr="00D419BD">
        <w:rPr>
          <w:rFonts w:ascii="Arial" w:hAnsi="Arial" w:cs="Arial"/>
          <w:sz w:val="24"/>
          <w:szCs w:val="24"/>
        </w:rPr>
        <w:t>accepting new patients at the county level, there is some assurance that the available providers will be within a reasonable distance of all enrollees within the network.</w:t>
      </w:r>
    </w:p>
    <w:p w14:paraId="24FCF6FA" w14:textId="13E54263" w:rsidR="00416289" w:rsidRPr="00D419BD" w:rsidRDefault="000907AB" w:rsidP="00CE2E4D">
      <w:pPr>
        <w:spacing w:after="600"/>
        <w:ind w:left="720"/>
        <w:rPr>
          <w:rFonts w:ascii="Arial" w:hAnsi="Arial" w:cs="Arial"/>
          <w:b/>
          <w:bCs/>
          <w:sz w:val="24"/>
          <w:szCs w:val="24"/>
        </w:rPr>
      </w:pPr>
      <w:r w:rsidRPr="00D419BD">
        <w:rPr>
          <w:rFonts w:ascii="Arial" w:hAnsi="Arial" w:cs="Arial"/>
          <w:sz w:val="24"/>
          <w:szCs w:val="24"/>
        </w:rPr>
        <w:t xml:space="preserve">To account for regions within the state where enrollees are likely to travel </w:t>
      </w:r>
      <w:r w:rsidR="0097366A" w:rsidRPr="00D419BD">
        <w:rPr>
          <w:rFonts w:ascii="Arial" w:hAnsi="Arial" w:cs="Arial"/>
          <w:sz w:val="24"/>
          <w:szCs w:val="24"/>
        </w:rPr>
        <w:t>to adjacent counties</w:t>
      </w:r>
      <w:r w:rsidRPr="00D419BD">
        <w:rPr>
          <w:rFonts w:ascii="Arial" w:hAnsi="Arial" w:cs="Arial"/>
          <w:sz w:val="24"/>
          <w:szCs w:val="24"/>
        </w:rPr>
        <w:t xml:space="preserve"> to obtain care, </w:t>
      </w:r>
      <w:r w:rsidR="00627B3A" w:rsidRPr="00D419BD">
        <w:rPr>
          <w:rFonts w:ascii="Arial" w:hAnsi="Arial" w:cs="Arial"/>
          <w:sz w:val="24"/>
          <w:szCs w:val="24"/>
        </w:rPr>
        <w:t xml:space="preserve">the DMHC </w:t>
      </w:r>
      <w:r w:rsidR="00DC6106" w:rsidRPr="00D419BD">
        <w:rPr>
          <w:rFonts w:ascii="Arial" w:hAnsi="Arial" w:cs="Arial"/>
          <w:sz w:val="24"/>
          <w:szCs w:val="24"/>
        </w:rPr>
        <w:t>will</w:t>
      </w:r>
      <w:r w:rsidR="00627B3A" w:rsidRPr="00D419BD">
        <w:rPr>
          <w:rFonts w:ascii="Arial" w:hAnsi="Arial" w:cs="Arial"/>
          <w:sz w:val="24"/>
          <w:szCs w:val="24"/>
        </w:rPr>
        <w:t xml:space="preserve"> apply an </w:t>
      </w:r>
      <w:r w:rsidRPr="00D419BD">
        <w:rPr>
          <w:rFonts w:ascii="Arial" w:hAnsi="Arial" w:cs="Arial"/>
          <w:sz w:val="24"/>
          <w:szCs w:val="24"/>
        </w:rPr>
        <w:t xml:space="preserve">alternative review methodology </w:t>
      </w:r>
      <w:r w:rsidR="00627B3A" w:rsidRPr="00D419BD">
        <w:rPr>
          <w:rFonts w:ascii="Arial" w:hAnsi="Arial" w:cs="Arial"/>
          <w:sz w:val="24"/>
          <w:szCs w:val="24"/>
        </w:rPr>
        <w:t>to</w:t>
      </w:r>
      <w:r w:rsidRPr="00D419BD">
        <w:rPr>
          <w:rFonts w:ascii="Arial" w:hAnsi="Arial" w:cs="Arial"/>
          <w:sz w:val="24"/>
          <w:szCs w:val="24"/>
        </w:rPr>
        <w:t xml:space="preserve"> combine counties meeting certain criteria when evaluating compliance.</w:t>
      </w:r>
    </w:p>
    <w:p w14:paraId="076EB48B" w14:textId="4F2DCF8D" w:rsidR="00C52023" w:rsidRPr="002C1DD9" w:rsidRDefault="00C52023" w:rsidP="002F746C">
      <w:pPr>
        <w:pStyle w:val="ListParagraph"/>
        <w:numPr>
          <w:ilvl w:val="0"/>
          <w:numId w:val="10"/>
        </w:numPr>
        <w:spacing w:after="240"/>
        <w:contextualSpacing w:val="0"/>
        <w:rPr>
          <w:rFonts w:ascii="Arial" w:hAnsi="Arial" w:cs="Arial"/>
          <w:b/>
          <w:bCs/>
          <w:sz w:val="24"/>
          <w:szCs w:val="24"/>
        </w:rPr>
      </w:pPr>
      <w:r w:rsidRPr="002C1DD9">
        <w:rPr>
          <w:rFonts w:ascii="Arial" w:hAnsi="Arial" w:cs="Arial"/>
          <w:b/>
          <w:bCs/>
          <w:sz w:val="24"/>
          <w:szCs w:val="24"/>
        </w:rPr>
        <w:lastRenderedPageBreak/>
        <w:t xml:space="preserve">When reviewing plans according to the compliance threshold for Counseling MHPs that are accepting new patients, the DMHC reviews according to both a minimum percentage of </w:t>
      </w:r>
      <w:r w:rsidR="00940D6E" w:rsidRPr="002C1DD9">
        <w:rPr>
          <w:rFonts w:ascii="Arial" w:hAnsi="Arial" w:cs="Arial"/>
          <w:b/>
          <w:bCs/>
          <w:sz w:val="24"/>
          <w:szCs w:val="24"/>
        </w:rPr>
        <w:t>C</w:t>
      </w:r>
      <w:r w:rsidRPr="002C1DD9">
        <w:rPr>
          <w:rFonts w:ascii="Arial" w:hAnsi="Arial" w:cs="Arial"/>
          <w:b/>
          <w:bCs/>
          <w:sz w:val="24"/>
          <w:szCs w:val="24"/>
        </w:rPr>
        <w:t>ounseling MHPs that are accepting new patients (75%), and a minimum percentage of MHP locations that are accepting new patients (80%). How does the DMHC review network and county data under each of these two requirements, and why do the percentages differ?</w:t>
      </w:r>
    </w:p>
    <w:p w14:paraId="64098C8E" w14:textId="14C21DD1" w:rsidR="009409B3" w:rsidRPr="00D419BD" w:rsidRDefault="00AA6F76" w:rsidP="002F746C">
      <w:pPr>
        <w:spacing w:after="240"/>
        <w:ind w:left="720"/>
        <w:rPr>
          <w:rFonts w:ascii="Arial" w:hAnsi="Arial" w:cs="Arial"/>
          <w:sz w:val="24"/>
          <w:szCs w:val="24"/>
        </w:rPr>
      </w:pPr>
      <w:r w:rsidRPr="00D419BD">
        <w:rPr>
          <w:rFonts w:ascii="Arial" w:hAnsi="Arial" w:cs="Arial"/>
          <w:sz w:val="24"/>
          <w:szCs w:val="24"/>
        </w:rPr>
        <w:t>Plans</w:t>
      </w:r>
      <w:r w:rsidR="009409B3" w:rsidRPr="00D419BD">
        <w:rPr>
          <w:rFonts w:ascii="Arial" w:hAnsi="Arial" w:cs="Arial"/>
          <w:sz w:val="24"/>
          <w:szCs w:val="24"/>
        </w:rPr>
        <w:t xml:space="preserve"> must establish that each reported network complies with the compliance threshold, both at the network level and at the county level. To establish compliance at each of these levels</w:t>
      </w:r>
      <w:r w:rsidR="00140EFC" w:rsidRPr="00D419BD">
        <w:rPr>
          <w:rFonts w:ascii="Arial" w:hAnsi="Arial" w:cs="Arial"/>
          <w:sz w:val="24"/>
          <w:szCs w:val="24"/>
        </w:rPr>
        <w:t xml:space="preserve">, </w:t>
      </w:r>
      <w:r w:rsidR="009409B3" w:rsidRPr="00D419BD">
        <w:rPr>
          <w:rFonts w:ascii="Arial" w:hAnsi="Arial" w:cs="Arial"/>
          <w:sz w:val="24"/>
          <w:szCs w:val="24"/>
        </w:rPr>
        <w:t>the Plan’s reported data must demonstrate that either at least 75% of Counseling MHPs are accepting new patients within each network and applicable county, or at least 80% of the MHP locations, as defined, are accepting new patients within each network and applicable county.</w:t>
      </w:r>
    </w:p>
    <w:p w14:paraId="2EFBBB92" w14:textId="3D1DD4F8" w:rsidR="009409B3" w:rsidRPr="00D419BD" w:rsidRDefault="00D87E0F" w:rsidP="00CE2E4D">
      <w:pPr>
        <w:spacing w:after="600"/>
        <w:ind w:left="720"/>
        <w:rPr>
          <w:rFonts w:ascii="Arial" w:hAnsi="Arial" w:cs="Arial"/>
          <w:sz w:val="24"/>
          <w:szCs w:val="24"/>
        </w:rPr>
      </w:pPr>
      <w:r w:rsidRPr="00D419BD">
        <w:rPr>
          <w:rFonts w:ascii="Arial" w:hAnsi="Arial" w:cs="Arial"/>
          <w:sz w:val="24"/>
          <w:szCs w:val="24"/>
        </w:rPr>
        <w:t>P</w:t>
      </w:r>
      <w:r w:rsidR="009409B3" w:rsidRPr="00D419BD">
        <w:rPr>
          <w:rFonts w:ascii="Arial" w:hAnsi="Arial" w:cs="Arial"/>
          <w:sz w:val="24"/>
          <w:szCs w:val="24"/>
        </w:rPr>
        <w:t xml:space="preserve">lans must meet the higher </w:t>
      </w:r>
      <w:r w:rsidR="00E065CB" w:rsidRPr="00D419BD">
        <w:rPr>
          <w:rFonts w:ascii="Arial" w:hAnsi="Arial" w:cs="Arial"/>
          <w:sz w:val="24"/>
          <w:szCs w:val="24"/>
        </w:rPr>
        <w:t xml:space="preserve">value </w:t>
      </w:r>
      <w:r w:rsidR="009409B3" w:rsidRPr="00D419BD">
        <w:rPr>
          <w:rFonts w:ascii="Arial" w:hAnsi="Arial" w:cs="Arial"/>
          <w:sz w:val="24"/>
          <w:szCs w:val="24"/>
        </w:rPr>
        <w:t xml:space="preserve">of 80% when </w:t>
      </w:r>
      <w:r w:rsidR="0073747C" w:rsidRPr="00D419BD">
        <w:rPr>
          <w:rFonts w:ascii="Arial" w:hAnsi="Arial" w:cs="Arial"/>
          <w:sz w:val="24"/>
          <w:szCs w:val="24"/>
        </w:rPr>
        <w:t>using the</w:t>
      </w:r>
      <w:r w:rsidR="009409B3" w:rsidRPr="00D419BD">
        <w:rPr>
          <w:rFonts w:ascii="Arial" w:hAnsi="Arial" w:cs="Arial"/>
          <w:sz w:val="24"/>
          <w:szCs w:val="24"/>
        </w:rPr>
        <w:t xml:space="preserve"> MHP locations </w:t>
      </w:r>
      <w:r w:rsidR="0073747C" w:rsidRPr="00D419BD">
        <w:rPr>
          <w:rFonts w:ascii="Arial" w:hAnsi="Arial" w:cs="Arial"/>
          <w:sz w:val="24"/>
          <w:szCs w:val="24"/>
        </w:rPr>
        <w:t xml:space="preserve">threshold </w:t>
      </w:r>
      <w:r w:rsidR="009409B3" w:rsidRPr="00D419BD">
        <w:rPr>
          <w:rFonts w:ascii="Arial" w:hAnsi="Arial" w:cs="Arial"/>
          <w:sz w:val="24"/>
          <w:szCs w:val="24"/>
        </w:rPr>
        <w:t xml:space="preserve">to allow for equivalence between the two compliance thresholds. </w:t>
      </w:r>
      <w:r w:rsidR="008348EE" w:rsidRPr="00D419BD">
        <w:rPr>
          <w:rFonts w:ascii="Arial" w:hAnsi="Arial" w:cs="Arial"/>
          <w:sz w:val="24"/>
          <w:szCs w:val="24"/>
        </w:rPr>
        <w:t xml:space="preserve">This </w:t>
      </w:r>
      <w:r w:rsidR="00896601" w:rsidRPr="00D419BD">
        <w:rPr>
          <w:rFonts w:ascii="Arial" w:hAnsi="Arial" w:cs="Arial"/>
          <w:sz w:val="24"/>
          <w:szCs w:val="24"/>
        </w:rPr>
        <w:t xml:space="preserve">is </w:t>
      </w:r>
      <w:r w:rsidR="008348EE" w:rsidRPr="00D419BD">
        <w:rPr>
          <w:rFonts w:ascii="Arial" w:hAnsi="Arial" w:cs="Arial"/>
          <w:sz w:val="24"/>
          <w:szCs w:val="24"/>
        </w:rPr>
        <w:t xml:space="preserve">because </w:t>
      </w:r>
      <w:r w:rsidR="009B7CE1" w:rsidRPr="00D419BD">
        <w:rPr>
          <w:rFonts w:ascii="Arial" w:hAnsi="Arial" w:cs="Arial"/>
          <w:sz w:val="24"/>
          <w:szCs w:val="24"/>
        </w:rPr>
        <w:t>t</w:t>
      </w:r>
      <w:r w:rsidR="009409B3" w:rsidRPr="00D419BD">
        <w:rPr>
          <w:rFonts w:ascii="Arial" w:hAnsi="Arial" w:cs="Arial"/>
          <w:sz w:val="24"/>
          <w:szCs w:val="24"/>
        </w:rPr>
        <w:t xml:space="preserve">here are more </w:t>
      </w:r>
      <w:r w:rsidR="00C26F26" w:rsidRPr="00D419BD">
        <w:rPr>
          <w:rFonts w:ascii="Arial" w:hAnsi="Arial" w:cs="Arial"/>
          <w:sz w:val="24"/>
          <w:szCs w:val="24"/>
        </w:rPr>
        <w:t xml:space="preserve">MHP </w:t>
      </w:r>
      <w:r w:rsidR="009409B3" w:rsidRPr="00D419BD">
        <w:rPr>
          <w:rFonts w:ascii="Arial" w:hAnsi="Arial" w:cs="Arial"/>
          <w:sz w:val="24"/>
          <w:szCs w:val="24"/>
        </w:rPr>
        <w:t xml:space="preserve">locations that will qualify as accepting new patients than there are individual Counseling MHPs that will qualify as accepting new patients. An MHP location </w:t>
      </w:r>
      <w:r w:rsidR="0040259F" w:rsidRPr="00D419BD">
        <w:rPr>
          <w:rFonts w:ascii="Arial" w:hAnsi="Arial" w:cs="Arial"/>
          <w:sz w:val="24"/>
          <w:szCs w:val="24"/>
        </w:rPr>
        <w:t>meets the</w:t>
      </w:r>
      <w:r w:rsidR="009409B3" w:rsidRPr="00D419BD">
        <w:rPr>
          <w:rFonts w:ascii="Arial" w:hAnsi="Arial" w:cs="Arial"/>
          <w:sz w:val="24"/>
          <w:szCs w:val="24"/>
        </w:rPr>
        <w:t xml:space="preserve"> accepting new patients</w:t>
      </w:r>
      <w:r w:rsidR="0040259F" w:rsidRPr="00D419BD">
        <w:rPr>
          <w:rFonts w:ascii="Arial" w:hAnsi="Arial" w:cs="Arial"/>
          <w:sz w:val="24"/>
          <w:szCs w:val="24"/>
        </w:rPr>
        <w:t xml:space="preserve"> </w:t>
      </w:r>
      <w:r w:rsidR="0056649B" w:rsidRPr="00D419BD">
        <w:rPr>
          <w:rFonts w:ascii="Arial" w:hAnsi="Arial" w:cs="Arial"/>
          <w:sz w:val="24"/>
          <w:szCs w:val="24"/>
        </w:rPr>
        <w:t>standard</w:t>
      </w:r>
      <w:r w:rsidR="009409B3" w:rsidRPr="00D419BD">
        <w:rPr>
          <w:rFonts w:ascii="Arial" w:hAnsi="Arial" w:cs="Arial"/>
          <w:sz w:val="24"/>
          <w:szCs w:val="24"/>
        </w:rPr>
        <w:t xml:space="preserve"> when at least 25% of the individual </w:t>
      </w:r>
      <w:r w:rsidR="002E24C2" w:rsidRPr="00D419BD">
        <w:rPr>
          <w:rFonts w:ascii="Arial" w:hAnsi="Arial" w:cs="Arial"/>
          <w:sz w:val="24"/>
          <w:szCs w:val="24"/>
        </w:rPr>
        <w:t xml:space="preserve">Counseling </w:t>
      </w:r>
      <w:r w:rsidR="009409B3" w:rsidRPr="00D419BD">
        <w:rPr>
          <w:rFonts w:ascii="Arial" w:hAnsi="Arial" w:cs="Arial"/>
          <w:sz w:val="24"/>
          <w:szCs w:val="24"/>
        </w:rPr>
        <w:t>MHPs at that location are accepting new patients (or at least one Counseling MHP is accepting new patients at a smaller location</w:t>
      </w:r>
      <w:r w:rsidR="00A70293" w:rsidRPr="00D419BD">
        <w:rPr>
          <w:rFonts w:ascii="Arial" w:hAnsi="Arial" w:cs="Arial"/>
          <w:sz w:val="24"/>
          <w:szCs w:val="24"/>
        </w:rPr>
        <w:t xml:space="preserve"> with three or fewer Counseling MHPs</w:t>
      </w:r>
      <w:r w:rsidR="009409B3" w:rsidRPr="00D419BD">
        <w:rPr>
          <w:rFonts w:ascii="Arial" w:hAnsi="Arial" w:cs="Arial"/>
          <w:sz w:val="24"/>
          <w:szCs w:val="24"/>
        </w:rPr>
        <w:t>). T</w:t>
      </w:r>
      <w:r w:rsidR="00DF712C" w:rsidRPr="00D419BD">
        <w:rPr>
          <w:rFonts w:ascii="Arial" w:hAnsi="Arial" w:cs="Arial"/>
          <w:sz w:val="24"/>
          <w:szCs w:val="24"/>
        </w:rPr>
        <w:t>hus, t</w:t>
      </w:r>
      <w:r w:rsidR="009409B3" w:rsidRPr="00D419BD">
        <w:rPr>
          <w:rFonts w:ascii="Arial" w:hAnsi="Arial" w:cs="Arial"/>
          <w:sz w:val="24"/>
          <w:szCs w:val="24"/>
        </w:rPr>
        <w:t>here is a greater likelihood that an MHP location has one or more individual Counseling MHPs accepting new patients when the compliance is calculated at the MHP location level.</w:t>
      </w:r>
    </w:p>
    <w:p w14:paraId="3E4E0299" w14:textId="3B347CE6" w:rsidR="009F4FD2" w:rsidRPr="002C1DD9" w:rsidRDefault="009F4FD2" w:rsidP="00C1102D">
      <w:pPr>
        <w:pStyle w:val="ListParagraph"/>
        <w:numPr>
          <w:ilvl w:val="0"/>
          <w:numId w:val="10"/>
        </w:numPr>
        <w:spacing w:after="240"/>
        <w:contextualSpacing w:val="0"/>
        <w:rPr>
          <w:rFonts w:ascii="Arial" w:hAnsi="Arial" w:cs="Arial"/>
          <w:b/>
          <w:bCs/>
          <w:sz w:val="24"/>
          <w:szCs w:val="24"/>
        </w:rPr>
      </w:pPr>
      <w:r w:rsidRPr="002C1DD9">
        <w:rPr>
          <w:rFonts w:ascii="Arial" w:hAnsi="Arial" w:cs="Arial"/>
          <w:b/>
          <w:bCs/>
          <w:sz w:val="24"/>
          <w:szCs w:val="24"/>
        </w:rPr>
        <w:t>Will plan networks be able to meet the compliance threshold for Counseling MHPs that are accepting new patients?</w:t>
      </w:r>
    </w:p>
    <w:p w14:paraId="747701B8" w14:textId="18DB4BD2" w:rsidR="009F4FD2" w:rsidRPr="00D419BD" w:rsidRDefault="007D3E5A" w:rsidP="00CE2E4D">
      <w:pPr>
        <w:spacing w:after="600"/>
        <w:ind w:left="720"/>
        <w:rPr>
          <w:rFonts w:ascii="Arial" w:hAnsi="Arial" w:cs="Arial"/>
          <w:sz w:val="24"/>
          <w:szCs w:val="24"/>
        </w:rPr>
      </w:pPr>
      <w:r w:rsidRPr="00D419BD">
        <w:rPr>
          <w:rFonts w:ascii="Arial" w:hAnsi="Arial" w:cs="Arial"/>
          <w:sz w:val="24"/>
          <w:szCs w:val="24"/>
        </w:rPr>
        <w:t xml:space="preserve">The </w:t>
      </w:r>
      <w:r w:rsidR="00EE0A2E" w:rsidRPr="00D419BD">
        <w:rPr>
          <w:rFonts w:ascii="Arial" w:hAnsi="Arial" w:cs="Arial"/>
          <w:sz w:val="24"/>
          <w:szCs w:val="24"/>
        </w:rPr>
        <w:t xml:space="preserve">Counseling Non-Physician </w:t>
      </w:r>
      <w:r w:rsidRPr="00D419BD">
        <w:rPr>
          <w:rFonts w:ascii="Arial" w:hAnsi="Arial" w:cs="Arial"/>
          <w:sz w:val="24"/>
          <w:szCs w:val="24"/>
        </w:rPr>
        <w:t xml:space="preserve">Mental Health Professionals Accepting New Patients Standards and Methodology was developed after review of the distribution of providers that contract with managed care in California, </w:t>
      </w:r>
      <w:r w:rsidR="00AA0B67" w:rsidRPr="00D419BD">
        <w:rPr>
          <w:rFonts w:ascii="Arial" w:hAnsi="Arial" w:cs="Arial"/>
          <w:sz w:val="24"/>
          <w:szCs w:val="24"/>
        </w:rPr>
        <w:t>including</w:t>
      </w:r>
      <w:r w:rsidRPr="00D419BD">
        <w:rPr>
          <w:rFonts w:ascii="Arial" w:hAnsi="Arial" w:cs="Arial"/>
          <w:sz w:val="24"/>
          <w:szCs w:val="24"/>
        </w:rPr>
        <w:t xml:space="preserve"> several years of data reported to the DMHC concerning the availability of Counseling </w:t>
      </w:r>
      <w:r w:rsidR="00AA0B67" w:rsidRPr="00D419BD">
        <w:rPr>
          <w:rFonts w:ascii="Arial" w:hAnsi="Arial" w:cs="Arial"/>
          <w:sz w:val="24"/>
          <w:szCs w:val="24"/>
        </w:rPr>
        <w:t>MHPs</w:t>
      </w:r>
      <w:r w:rsidRPr="00D419BD">
        <w:rPr>
          <w:rFonts w:ascii="Arial" w:hAnsi="Arial" w:cs="Arial"/>
          <w:sz w:val="24"/>
          <w:szCs w:val="24"/>
        </w:rPr>
        <w:t xml:space="preserve"> in reported networks. Based on this review, the DMHC anticipates that most networks will be able to meet both the network and county standards</w:t>
      </w:r>
      <w:r w:rsidR="001A6C77" w:rsidRPr="00D419BD">
        <w:rPr>
          <w:rFonts w:ascii="Arial" w:hAnsi="Arial" w:cs="Arial"/>
          <w:sz w:val="24"/>
          <w:szCs w:val="24"/>
        </w:rPr>
        <w:t xml:space="preserve"> for accepting new patients</w:t>
      </w:r>
      <w:r w:rsidRPr="00D419BD">
        <w:rPr>
          <w:rFonts w:ascii="Arial" w:hAnsi="Arial" w:cs="Arial"/>
          <w:sz w:val="24"/>
          <w:szCs w:val="24"/>
        </w:rPr>
        <w:t>, or the alternative review methodology. However, networks with serious access concerns may face difficulty meeting the standards in one or more counties within the network service area.</w:t>
      </w:r>
    </w:p>
    <w:p w14:paraId="1237804C" w14:textId="5089642E" w:rsidR="00AE7C29" w:rsidRPr="002C1DD9" w:rsidRDefault="00AE7C29" w:rsidP="008D1587">
      <w:pPr>
        <w:pStyle w:val="ListParagraph"/>
        <w:numPr>
          <w:ilvl w:val="0"/>
          <w:numId w:val="10"/>
        </w:numPr>
        <w:spacing w:after="240"/>
        <w:contextualSpacing w:val="0"/>
        <w:rPr>
          <w:rFonts w:ascii="Arial" w:hAnsi="Arial" w:cs="Arial"/>
          <w:b/>
          <w:bCs/>
          <w:sz w:val="24"/>
          <w:szCs w:val="24"/>
        </w:rPr>
      </w:pPr>
      <w:r w:rsidRPr="002C1DD9">
        <w:rPr>
          <w:rFonts w:ascii="Arial" w:hAnsi="Arial" w:cs="Arial"/>
          <w:b/>
          <w:bCs/>
          <w:sz w:val="24"/>
          <w:szCs w:val="24"/>
        </w:rPr>
        <w:lastRenderedPageBreak/>
        <w:t xml:space="preserve">Why does the </w:t>
      </w:r>
      <w:r w:rsidR="00EE0A2E" w:rsidRPr="002C1DD9">
        <w:rPr>
          <w:rFonts w:ascii="Arial" w:hAnsi="Arial" w:cs="Arial"/>
          <w:b/>
          <w:bCs/>
          <w:sz w:val="24"/>
          <w:szCs w:val="24"/>
        </w:rPr>
        <w:t xml:space="preserve">Counseling Non-Physician </w:t>
      </w:r>
      <w:r w:rsidRPr="002C1DD9">
        <w:rPr>
          <w:rFonts w:ascii="Arial" w:hAnsi="Arial" w:cs="Arial"/>
          <w:b/>
          <w:bCs/>
          <w:sz w:val="24"/>
          <w:szCs w:val="24"/>
        </w:rPr>
        <w:t xml:space="preserve">Mental Health Professionals Accepting New Patients Standards and Methodology allow plans to account for the availability of other providers within an office when determining </w:t>
      </w:r>
      <w:r w:rsidR="00BF29E8" w:rsidRPr="002C1DD9">
        <w:rPr>
          <w:rFonts w:ascii="Arial" w:hAnsi="Arial" w:cs="Arial"/>
          <w:b/>
          <w:bCs/>
          <w:sz w:val="24"/>
          <w:szCs w:val="24"/>
        </w:rPr>
        <w:t>whether</w:t>
      </w:r>
      <w:r w:rsidRPr="002C1DD9">
        <w:rPr>
          <w:rFonts w:ascii="Arial" w:hAnsi="Arial" w:cs="Arial"/>
          <w:b/>
          <w:bCs/>
          <w:sz w:val="24"/>
          <w:szCs w:val="24"/>
        </w:rPr>
        <w:t xml:space="preserve"> the </w:t>
      </w:r>
      <w:r w:rsidR="004E7F37" w:rsidRPr="002C1DD9">
        <w:rPr>
          <w:rFonts w:ascii="Arial" w:hAnsi="Arial" w:cs="Arial"/>
          <w:b/>
          <w:bCs/>
          <w:sz w:val="24"/>
          <w:szCs w:val="24"/>
        </w:rPr>
        <w:t>compliance</w:t>
      </w:r>
      <w:r w:rsidRPr="002C1DD9">
        <w:rPr>
          <w:rFonts w:ascii="Arial" w:hAnsi="Arial" w:cs="Arial"/>
          <w:b/>
          <w:bCs/>
          <w:sz w:val="24"/>
          <w:szCs w:val="24"/>
        </w:rPr>
        <w:t xml:space="preserve"> threshold</w:t>
      </w:r>
      <w:r w:rsidR="00BF29E8" w:rsidRPr="002C1DD9">
        <w:rPr>
          <w:rFonts w:ascii="Arial" w:hAnsi="Arial" w:cs="Arial"/>
          <w:b/>
          <w:bCs/>
          <w:sz w:val="24"/>
          <w:szCs w:val="24"/>
        </w:rPr>
        <w:t xml:space="preserve"> is met</w:t>
      </w:r>
      <w:r w:rsidRPr="002C1DD9">
        <w:rPr>
          <w:rFonts w:ascii="Arial" w:hAnsi="Arial" w:cs="Arial"/>
          <w:b/>
          <w:bCs/>
          <w:sz w:val="24"/>
          <w:szCs w:val="24"/>
        </w:rPr>
        <w:t xml:space="preserve">, but the </w:t>
      </w:r>
      <w:r w:rsidR="004E7F37" w:rsidRPr="002C1DD9">
        <w:rPr>
          <w:rFonts w:ascii="Arial" w:hAnsi="Arial" w:cs="Arial"/>
          <w:b/>
          <w:bCs/>
          <w:sz w:val="24"/>
          <w:szCs w:val="24"/>
        </w:rPr>
        <w:t>Provider Appointment Availability Survey (</w:t>
      </w:r>
      <w:r w:rsidRPr="002C1DD9">
        <w:rPr>
          <w:rFonts w:ascii="Arial" w:hAnsi="Arial" w:cs="Arial"/>
          <w:b/>
          <w:bCs/>
          <w:sz w:val="24"/>
          <w:szCs w:val="24"/>
        </w:rPr>
        <w:t>PAAS</w:t>
      </w:r>
      <w:r w:rsidR="004E7F37" w:rsidRPr="002C1DD9">
        <w:rPr>
          <w:rFonts w:ascii="Arial" w:hAnsi="Arial" w:cs="Arial"/>
          <w:b/>
          <w:bCs/>
          <w:sz w:val="24"/>
          <w:szCs w:val="24"/>
        </w:rPr>
        <w:t>)</w:t>
      </w:r>
      <w:r w:rsidRPr="002C1DD9">
        <w:rPr>
          <w:rFonts w:ascii="Arial" w:hAnsi="Arial" w:cs="Arial"/>
          <w:b/>
          <w:bCs/>
          <w:sz w:val="24"/>
          <w:szCs w:val="24"/>
        </w:rPr>
        <w:t xml:space="preserve"> methodology does not allow plans to account for the next available appointment of other </w:t>
      </w:r>
      <w:r w:rsidR="004E7F37" w:rsidRPr="002C1DD9">
        <w:rPr>
          <w:rFonts w:ascii="Arial" w:hAnsi="Arial" w:cs="Arial"/>
          <w:b/>
          <w:bCs/>
          <w:sz w:val="24"/>
          <w:szCs w:val="24"/>
        </w:rPr>
        <w:t xml:space="preserve">network </w:t>
      </w:r>
      <w:r w:rsidRPr="002C1DD9">
        <w:rPr>
          <w:rFonts w:ascii="Arial" w:hAnsi="Arial" w:cs="Arial"/>
          <w:b/>
          <w:bCs/>
          <w:sz w:val="24"/>
          <w:szCs w:val="24"/>
        </w:rPr>
        <w:t>providers within the surveyed office when determining compliance with the timely access standards?</w:t>
      </w:r>
    </w:p>
    <w:p w14:paraId="15FFBD4F" w14:textId="0D774FB0" w:rsidR="00D57F59" w:rsidRPr="00D419BD" w:rsidRDefault="00D57F59" w:rsidP="008D1587">
      <w:pPr>
        <w:spacing w:after="240"/>
        <w:ind w:left="720"/>
        <w:rPr>
          <w:rFonts w:ascii="Arial" w:hAnsi="Arial" w:cs="Arial"/>
          <w:sz w:val="24"/>
          <w:szCs w:val="24"/>
        </w:rPr>
      </w:pPr>
      <w:r w:rsidRPr="00D419BD">
        <w:rPr>
          <w:rFonts w:ascii="Arial" w:hAnsi="Arial" w:cs="Arial"/>
          <w:sz w:val="24"/>
          <w:szCs w:val="24"/>
        </w:rPr>
        <w:t xml:space="preserve">The PAAS </w:t>
      </w:r>
      <w:r w:rsidR="00643E44" w:rsidRPr="00D419BD">
        <w:rPr>
          <w:rFonts w:ascii="Arial" w:hAnsi="Arial" w:cs="Arial"/>
          <w:sz w:val="24"/>
          <w:szCs w:val="24"/>
        </w:rPr>
        <w:t xml:space="preserve">rate-of-compliance </w:t>
      </w:r>
      <w:r w:rsidRPr="00D419BD">
        <w:rPr>
          <w:rFonts w:ascii="Arial" w:hAnsi="Arial" w:cs="Arial"/>
          <w:sz w:val="24"/>
          <w:szCs w:val="24"/>
        </w:rPr>
        <w:t xml:space="preserve">methodology is based on a different statistical model than the MHP </w:t>
      </w:r>
      <w:r w:rsidR="00FF2EF0" w:rsidRPr="00D419BD">
        <w:rPr>
          <w:rFonts w:ascii="Arial" w:hAnsi="Arial" w:cs="Arial"/>
          <w:sz w:val="24"/>
          <w:szCs w:val="24"/>
        </w:rPr>
        <w:t>l</w:t>
      </w:r>
      <w:r w:rsidRPr="00D419BD">
        <w:rPr>
          <w:rFonts w:ascii="Arial" w:hAnsi="Arial" w:cs="Arial"/>
          <w:sz w:val="24"/>
          <w:szCs w:val="24"/>
        </w:rPr>
        <w:t xml:space="preserve">ocation </w:t>
      </w:r>
      <w:r w:rsidR="00643E44" w:rsidRPr="00D419BD">
        <w:rPr>
          <w:rFonts w:ascii="Arial" w:hAnsi="Arial" w:cs="Arial"/>
          <w:sz w:val="24"/>
          <w:szCs w:val="24"/>
        </w:rPr>
        <w:t xml:space="preserve">compliance </w:t>
      </w:r>
      <w:r w:rsidRPr="00D419BD">
        <w:rPr>
          <w:rFonts w:ascii="Arial" w:hAnsi="Arial" w:cs="Arial"/>
          <w:sz w:val="24"/>
          <w:szCs w:val="24"/>
        </w:rPr>
        <w:t xml:space="preserve">threshold within the </w:t>
      </w:r>
      <w:r w:rsidR="00386994" w:rsidRPr="00D419BD">
        <w:rPr>
          <w:rFonts w:ascii="Arial" w:hAnsi="Arial" w:cs="Arial"/>
          <w:sz w:val="24"/>
          <w:szCs w:val="24"/>
        </w:rPr>
        <w:t xml:space="preserve">Counseling Non-Physician </w:t>
      </w:r>
      <w:r w:rsidRPr="00D419BD">
        <w:rPr>
          <w:rFonts w:ascii="Arial" w:hAnsi="Arial" w:cs="Arial"/>
          <w:sz w:val="24"/>
          <w:szCs w:val="24"/>
        </w:rPr>
        <w:t>Mental Hea</w:t>
      </w:r>
      <w:r w:rsidR="00386994" w:rsidRPr="00D419BD">
        <w:rPr>
          <w:rFonts w:ascii="Arial" w:hAnsi="Arial" w:cs="Arial"/>
          <w:sz w:val="24"/>
          <w:szCs w:val="24"/>
        </w:rPr>
        <w:t>l</w:t>
      </w:r>
      <w:r w:rsidRPr="00D419BD">
        <w:rPr>
          <w:rFonts w:ascii="Arial" w:hAnsi="Arial" w:cs="Arial"/>
          <w:sz w:val="24"/>
          <w:szCs w:val="24"/>
        </w:rPr>
        <w:t>th Professional</w:t>
      </w:r>
      <w:r w:rsidR="00386994" w:rsidRPr="00D419BD">
        <w:rPr>
          <w:rFonts w:ascii="Arial" w:hAnsi="Arial" w:cs="Arial"/>
          <w:sz w:val="24"/>
          <w:szCs w:val="24"/>
        </w:rPr>
        <w:t>s</w:t>
      </w:r>
      <w:r w:rsidRPr="00D419BD">
        <w:rPr>
          <w:rFonts w:ascii="Arial" w:hAnsi="Arial" w:cs="Arial"/>
          <w:sz w:val="24"/>
          <w:szCs w:val="24"/>
        </w:rPr>
        <w:t xml:space="preserve"> Accepting New Patients Standards and Methodology</w:t>
      </w:r>
      <w:r w:rsidR="00386994" w:rsidRPr="00D419BD">
        <w:rPr>
          <w:rFonts w:ascii="Arial" w:hAnsi="Arial" w:cs="Arial"/>
          <w:sz w:val="24"/>
          <w:szCs w:val="24"/>
        </w:rPr>
        <w:t xml:space="preserve">. </w:t>
      </w:r>
      <w:r w:rsidR="00643E44" w:rsidRPr="00D419BD">
        <w:rPr>
          <w:rFonts w:ascii="Arial" w:hAnsi="Arial" w:cs="Arial"/>
          <w:sz w:val="24"/>
          <w:szCs w:val="24"/>
        </w:rPr>
        <w:t>Additionally, t</w:t>
      </w:r>
      <w:r w:rsidRPr="00D419BD">
        <w:rPr>
          <w:rFonts w:ascii="Arial" w:hAnsi="Arial" w:cs="Arial"/>
          <w:sz w:val="24"/>
          <w:szCs w:val="24"/>
        </w:rPr>
        <w:t xml:space="preserve">he two review methodologies measure </w:t>
      </w:r>
      <w:r w:rsidR="004261F7" w:rsidRPr="00D419BD">
        <w:rPr>
          <w:rFonts w:ascii="Arial" w:hAnsi="Arial" w:cs="Arial"/>
          <w:sz w:val="24"/>
          <w:szCs w:val="24"/>
        </w:rPr>
        <w:t xml:space="preserve">a plan’s </w:t>
      </w:r>
      <w:r w:rsidRPr="00D419BD">
        <w:rPr>
          <w:rFonts w:ascii="Arial" w:hAnsi="Arial" w:cs="Arial"/>
          <w:sz w:val="24"/>
          <w:szCs w:val="24"/>
        </w:rPr>
        <w:t>compliance with different network adequacy standards within the Knox-Keene Act.</w:t>
      </w:r>
    </w:p>
    <w:p w14:paraId="2E3A6499" w14:textId="21CAB218" w:rsidR="00D57F59" w:rsidRPr="00D419BD" w:rsidRDefault="00D57F59" w:rsidP="00BB3F9D">
      <w:pPr>
        <w:spacing w:after="600"/>
        <w:ind w:left="720"/>
        <w:rPr>
          <w:rFonts w:ascii="Arial" w:hAnsi="Arial" w:cs="Arial"/>
          <w:sz w:val="24"/>
          <w:szCs w:val="24"/>
        </w:rPr>
      </w:pPr>
      <w:r w:rsidRPr="00D419BD">
        <w:rPr>
          <w:rFonts w:ascii="Arial" w:hAnsi="Arial" w:cs="Arial"/>
          <w:sz w:val="24"/>
          <w:szCs w:val="24"/>
        </w:rPr>
        <w:t xml:space="preserve">With the PAAS, the rate of compliance a plan must achieve is established based on the objective that an enrollee must have access to </w:t>
      </w:r>
      <w:r w:rsidR="004261F7" w:rsidRPr="00D419BD">
        <w:rPr>
          <w:rFonts w:ascii="Arial" w:hAnsi="Arial" w:cs="Arial"/>
          <w:sz w:val="24"/>
          <w:szCs w:val="24"/>
        </w:rPr>
        <w:t xml:space="preserve">a </w:t>
      </w:r>
      <w:r w:rsidRPr="00D419BD">
        <w:rPr>
          <w:rFonts w:ascii="Arial" w:hAnsi="Arial" w:cs="Arial"/>
          <w:sz w:val="24"/>
          <w:szCs w:val="24"/>
        </w:rPr>
        <w:t>timely appointment within three attempts (i.e.</w:t>
      </w:r>
      <w:r w:rsidR="00646DC4" w:rsidRPr="00D419BD">
        <w:rPr>
          <w:rFonts w:ascii="Arial" w:hAnsi="Arial" w:cs="Arial"/>
          <w:sz w:val="24"/>
          <w:szCs w:val="24"/>
        </w:rPr>
        <w:t>,</w:t>
      </w:r>
      <w:r w:rsidRPr="00D419BD">
        <w:rPr>
          <w:rFonts w:ascii="Arial" w:hAnsi="Arial" w:cs="Arial"/>
          <w:sz w:val="24"/>
          <w:szCs w:val="24"/>
        </w:rPr>
        <w:t xml:space="preserve"> within three </w:t>
      </w:r>
      <w:r w:rsidR="00646DC4" w:rsidRPr="00D419BD">
        <w:rPr>
          <w:rFonts w:ascii="Arial" w:hAnsi="Arial" w:cs="Arial"/>
          <w:sz w:val="24"/>
          <w:szCs w:val="24"/>
        </w:rPr>
        <w:t>“</w:t>
      </w:r>
      <w:r w:rsidRPr="00D419BD">
        <w:rPr>
          <w:rFonts w:ascii="Arial" w:hAnsi="Arial" w:cs="Arial"/>
          <w:sz w:val="24"/>
          <w:szCs w:val="24"/>
        </w:rPr>
        <w:t>contacts</w:t>
      </w:r>
      <w:r w:rsidR="00646DC4" w:rsidRPr="00D419BD">
        <w:rPr>
          <w:rFonts w:ascii="Arial" w:hAnsi="Arial" w:cs="Arial"/>
          <w:sz w:val="24"/>
          <w:szCs w:val="24"/>
        </w:rPr>
        <w:t>”</w:t>
      </w:r>
      <w:r w:rsidRPr="00D419BD">
        <w:rPr>
          <w:rFonts w:ascii="Arial" w:hAnsi="Arial" w:cs="Arial"/>
          <w:sz w:val="24"/>
          <w:szCs w:val="24"/>
        </w:rPr>
        <w:t xml:space="preserve">). It is essential that the PAAS methodology capture appointment data for only the individual provider being surveyed for the statistical model to apply at the established threshold. If plans could count a provider as having a compliant appointment based on the availability of a different provider within the same office, then the survey results may ultimately reflect more than one contact for each provider surveyed. This would thus impact the statistical assumptions regarding the availability of timely appointments. The </w:t>
      </w:r>
      <w:r w:rsidR="00F91EB1" w:rsidRPr="00D419BD">
        <w:rPr>
          <w:rFonts w:ascii="Arial" w:hAnsi="Arial" w:cs="Arial"/>
          <w:sz w:val="24"/>
          <w:szCs w:val="24"/>
        </w:rPr>
        <w:t xml:space="preserve">MHP </w:t>
      </w:r>
      <w:r w:rsidR="00112ED7" w:rsidRPr="00D419BD">
        <w:rPr>
          <w:rFonts w:ascii="Arial" w:hAnsi="Arial" w:cs="Arial"/>
          <w:sz w:val="24"/>
          <w:szCs w:val="24"/>
        </w:rPr>
        <w:t>l</w:t>
      </w:r>
      <w:r w:rsidR="00F91EB1" w:rsidRPr="00D419BD">
        <w:rPr>
          <w:rFonts w:ascii="Arial" w:hAnsi="Arial" w:cs="Arial"/>
          <w:sz w:val="24"/>
          <w:szCs w:val="24"/>
        </w:rPr>
        <w:t xml:space="preserve">ocation threshold within the </w:t>
      </w:r>
      <w:r w:rsidR="00F21C66" w:rsidRPr="00D419BD">
        <w:rPr>
          <w:rFonts w:ascii="Arial" w:hAnsi="Arial" w:cs="Arial"/>
          <w:sz w:val="24"/>
          <w:szCs w:val="24"/>
        </w:rPr>
        <w:t>s</w:t>
      </w:r>
      <w:r w:rsidR="00CD1532" w:rsidRPr="00D419BD">
        <w:rPr>
          <w:rFonts w:ascii="Arial" w:hAnsi="Arial" w:cs="Arial"/>
          <w:sz w:val="24"/>
          <w:szCs w:val="24"/>
        </w:rPr>
        <w:t xml:space="preserve">tandards and </w:t>
      </w:r>
      <w:r w:rsidR="00F21C66" w:rsidRPr="00D419BD">
        <w:rPr>
          <w:rFonts w:ascii="Arial" w:hAnsi="Arial" w:cs="Arial"/>
          <w:sz w:val="24"/>
          <w:szCs w:val="24"/>
        </w:rPr>
        <w:t>m</w:t>
      </w:r>
      <w:r w:rsidRPr="00D419BD">
        <w:rPr>
          <w:rFonts w:ascii="Arial" w:hAnsi="Arial" w:cs="Arial"/>
          <w:sz w:val="24"/>
          <w:szCs w:val="24"/>
        </w:rPr>
        <w:t xml:space="preserve">ethodology does not </w:t>
      </w:r>
      <w:r w:rsidR="00573D10" w:rsidRPr="00D419BD">
        <w:rPr>
          <w:rFonts w:ascii="Arial" w:hAnsi="Arial" w:cs="Arial"/>
          <w:sz w:val="24"/>
          <w:szCs w:val="24"/>
        </w:rPr>
        <w:t>consider</w:t>
      </w:r>
      <w:r w:rsidRPr="00D419BD">
        <w:rPr>
          <w:rFonts w:ascii="Arial" w:hAnsi="Arial" w:cs="Arial"/>
          <w:sz w:val="24"/>
          <w:szCs w:val="24"/>
        </w:rPr>
        <w:t xml:space="preserve"> rate of compliance with timely appointment standards. Instead, it measures </w:t>
      </w:r>
      <w:r w:rsidR="00CB3F1D" w:rsidRPr="00D419BD">
        <w:rPr>
          <w:rFonts w:ascii="Arial" w:hAnsi="Arial" w:cs="Arial"/>
          <w:sz w:val="24"/>
          <w:szCs w:val="24"/>
        </w:rPr>
        <w:t xml:space="preserve">the </w:t>
      </w:r>
      <w:r w:rsidR="00B56F76" w:rsidRPr="00D419BD">
        <w:rPr>
          <w:rFonts w:ascii="Arial" w:hAnsi="Arial" w:cs="Arial"/>
          <w:sz w:val="24"/>
          <w:szCs w:val="24"/>
        </w:rPr>
        <w:t xml:space="preserve">total </w:t>
      </w:r>
      <w:r w:rsidRPr="00D419BD">
        <w:rPr>
          <w:rFonts w:ascii="Arial" w:hAnsi="Arial" w:cs="Arial"/>
          <w:sz w:val="24"/>
          <w:szCs w:val="24"/>
        </w:rPr>
        <w:t xml:space="preserve">number of </w:t>
      </w:r>
      <w:r w:rsidR="002E54BC" w:rsidRPr="00D419BD">
        <w:rPr>
          <w:rFonts w:ascii="Arial" w:hAnsi="Arial" w:cs="Arial"/>
          <w:sz w:val="24"/>
          <w:szCs w:val="24"/>
        </w:rPr>
        <w:t xml:space="preserve">MHP </w:t>
      </w:r>
      <w:r w:rsidR="00651011" w:rsidRPr="00D419BD">
        <w:rPr>
          <w:rFonts w:ascii="Arial" w:hAnsi="Arial" w:cs="Arial"/>
          <w:sz w:val="24"/>
          <w:szCs w:val="24"/>
        </w:rPr>
        <w:t xml:space="preserve">locations with </w:t>
      </w:r>
      <w:r w:rsidRPr="00D419BD">
        <w:rPr>
          <w:rFonts w:ascii="Arial" w:hAnsi="Arial" w:cs="Arial"/>
          <w:sz w:val="24"/>
          <w:szCs w:val="24"/>
        </w:rPr>
        <w:t xml:space="preserve">network providers accepting new patients </w:t>
      </w:r>
      <w:r w:rsidR="002B5B58" w:rsidRPr="00D419BD">
        <w:rPr>
          <w:rFonts w:ascii="Arial" w:hAnsi="Arial" w:cs="Arial"/>
          <w:sz w:val="24"/>
          <w:szCs w:val="24"/>
        </w:rPr>
        <w:t>that are</w:t>
      </w:r>
      <w:r w:rsidRPr="00D419BD">
        <w:rPr>
          <w:rFonts w:ascii="Arial" w:hAnsi="Arial" w:cs="Arial"/>
          <w:sz w:val="24"/>
          <w:szCs w:val="24"/>
        </w:rPr>
        <w:t xml:space="preserve"> readily available and accessible to enrollees, to</w:t>
      </w:r>
      <w:r w:rsidR="001C5E8F" w:rsidRPr="00D419BD">
        <w:rPr>
          <w:rFonts w:ascii="Arial" w:hAnsi="Arial" w:cs="Arial"/>
          <w:sz w:val="24"/>
          <w:szCs w:val="24"/>
        </w:rPr>
        <w:t xml:space="preserve"> </w:t>
      </w:r>
      <w:r w:rsidRPr="00D419BD">
        <w:rPr>
          <w:rFonts w:ascii="Arial" w:hAnsi="Arial" w:cs="Arial"/>
          <w:sz w:val="24"/>
          <w:szCs w:val="24"/>
        </w:rPr>
        <w:t>support timely access to care.</w:t>
      </w:r>
      <w:r w:rsidR="00E56FA0" w:rsidRPr="00D419BD">
        <w:rPr>
          <w:rFonts w:ascii="Arial" w:hAnsi="Arial" w:cs="Arial"/>
          <w:sz w:val="24"/>
          <w:szCs w:val="24"/>
        </w:rPr>
        <w:t xml:space="preserve"> </w:t>
      </w:r>
      <w:r w:rsidRPr="00D419BD">
        <w:rPr>
          <w:rFonts w:ascii="Arial" w:hAnsi="Arial" w:cs="Arial"/>
          <w:sz w:val="24"/>
          <w:szCs w:val="24"/>
        </w:rPr>
        <w:t>Therefore</w:t>
      </w:r>
      <w:r w:rsidR="0053280C" w:rsidRPr="00D419BD">
        <w:rPr>
          <w:rFonts w:ascii="Arial" w:hAnsi="Arial" w:cs="Arial"/>
          <w:sz w:val="24"/>
          <w:szCs w:val="24"/>
        </w:rPr>
        <w:t>,</w:t>
      </w:r>
      <w:r w:rsidRPr="00D419BD">
        <w:rPr>
          <w:rFonts w:ascii="Arial" w:hAnsi="Arial" w:cs="Arial"/>
          <w:sz w:val="24"/>
          <w:szCs w:val="24"/>
        </w:rPr>
        <w:t xml:space="preserve"> compliance </w:t>
      </w:r>
      <w:r w:rsidR="00EE14CC" w:rsidRPr="00D419BD">
        <w:rPr>
          <w:rFonts w:ascii="Arial" w:hAnsi="Arial" w:cs="Arial"/>
          <w:sz w:val="24"/>
          <w:szCs w:val="24"/>
        </w:rPr>
        <w:t>is</w:t>
      </w:r>
      <w:r w:rsidRPr="00D419BD">
        <w:rPr>
          <w:rFonts w:ascii="Arial" w:hAnsi="Arial" w:cs="Arial"/>
          <w:sz w:val="24"/>
          <w:szCs w:val="24"/>
        </w:rPr>
        <w:t xml:space="preserve"> calculated at the location level and take</w:t>
      </w:r>
      <w:r w:rsidR="00EE14CC" w:rsidRPr="00D419BD">
        <w:rPr>
          <w:rFonts w:ascii="Arial" w:hAnsi="Arial" w:cs="Arial"/>
          <w:sz w:val="24"/>
          <w:szCs w:val="24"/>
        </w:rPr>
        <w:t>s</w:t>
      </w:r>
      <w:r w:rsidRPr="00D419BD">
        <w:rPr>
          <w:rFonts w:ascii="Arial" w:hAnsi="Arial" w:cs="Arial"/>
          <w:sz w:val="24"/>
          <w:szCs w:val="24"/>
        </w:rPr>
        <w:t xml:space="preserve"> into consideration the availability of </w:t>
      </w:r>
      <w:r w:rsidR="00651011" w:rsidRPr="00D419BD">
        <w:rPr>
          <w:rFonts w:ascii="Arial" w:hAnsi="Arial" w:cs="Arial"/>
          <w:sz w:val="24"/>
          <w:szCs w:val="24"/>
        </w:rPr>
        <w:t>all network</w:t>
      </w:r>
      <w:r w:rsidRPr="00D419BD">
        <w:rPr>
          <w:rFonts w:ascii="Arial" w:hAnsi="Arial" w:cs="Arial"/>
          <w:sz w:val="24"/>
          <w:szCs w:val="24"/>
        </w:rPr>
        <w:t xml:space="preserve"> providers at the location.</w:t>
      </w:r>
    </w:p>
    <w:p w14:paraId="648F8D24" w14:textId="4B980B88" w:rsidR="004B5B97" w:rsidRPr="002C1DD9" w:rsidRDefault="004B5B97" w:rsidP="008D1587">
      <w:pPr>
        <w:pStyle w:val="ListParagraph"/>
        <w:numPr>
          <w:ilvl w:val="0"/>
          <w:numId w:val="10"/>
        </w:numPr>
        <w:spacing w:after="240"/>
        <w:contextualSpacing w:val="0"/>
        <w:rPr>
          <w:rFonts w:ascii="Arial" w:hAnsi="Arial" w:cs="Arial"/>
          <w:b/>
          <w:bCs/>
          <w:sz w:val="24"/>
          <w:szCs w:val="24"/>
        </w:rPr>
      </w:pPr>
      <w:r w:rsidRPr="002C1DD9">
        <w:rPr>
          <w:rFonts w:ascii="Arial" w:hAnsi="Arial" w:cs="Arial"/>
          <w:b/>
          <w:bCs/>
          <w:sz w:val="24"/>
          <w:szCs w:val="24"/>
        </w:rPr>
        <w:t xml:space="preserve">When reviewing plans according to the </w:t>
      </w:r>
      <w:r w:rsidR="000037D4" w:rsidRPr="002C1DD9">
        <w:rPr>
          <w:rFonts w:ascii="Arial" w:hAnsi="Arial" w:cs="Arial"/>
          <w:b/>
          <w:bCs/>
          <w:sz w:val="24"/>
          <w:szCs w:val="24"/>
        </w:rPr>
        <w:t xml:space="preserve">Counseling Non-Physician </w:t>
      </w:r>
      <w:r w:rsidRPr="002C1DD9">
        <w:rPr>
          <w:rFonts w:ascii="Arial" w:hAnsi="Arial" w:cs="Arial"/>
          <w:b/>
          <w:bCs/>
          <w:sz w:val="24"/>
          <w:szCs w:val="24"/>
        </w:rPr>
        <w:t xml:space="preserve">Mental Health Professionals Accepting New Patients Standards and Methodology, how will the alternative review methodology be applied when a plan fails to meet the threshold in a CEAC or </w:t>
      </w:r>
      <w:r w:rsidR="000037D4" w:rsidRPr="002C1DD9">
        <w:rPr>
          <w:rFonts w:ascii="Arial" w:hAnsi="Arial" w:cs="Arial"/>
          <w:b/>
          <w:bCs/>
          <w:sz w:val="24"/>
          <w:szCs w:val="24"/>
        </w:rPr>
        <w:t>Rural County</w:t>
      </w:r>
      <w:r w:rsidRPr="002C1DD9">
        <w:rPr>
          <w:rFonts w:ascii="Arial" w:hAnsi="Arial" w:cs="Arial"/>
          <w:b/>
          <w:bCs/>
          <w:sz w:val="24"/>
          <w:szCs w:val="24"/>
        </w:rPr>
        <w:t xml:space="preserve"> type?</w:t>
      </w:r>
    </w:p>
    <w:p w14:paraId="1A054AFA" w14:textId="7900CD24" w:rsidR="004B5B97" w:rsidRPr="00D419BD" w:rsidRDefault="00FE4AAE" w:rsidP="00BB3F9D">
      <w:pPr>
        <w:spacing w:after="600"/>
        <w:ind w:left="720"/>
        <w:rPr>
          <w:rFonts w:ascii="Arial" w:hAnsi="Arial" w:cs="Arial"/>
          <w:sz w:val="24"/>
          <w:szCs w:val="24"/>
        </w:rPr>
      </w:pPr>
      <w:r w:rsidRPr="00D419BD">
        <w:rPr>
          <w:rFonts w:ascii="Arial" w:hAnsi="Arial" w:cs="Arial"/>
          <w:sz w:val="24"/>
          <w:szCs w:val="24"/>
        </w:rPr>
        <w:t xml:space="preserve">The alternative review methodology is described in the Counseling Non-Physician Mental Health Professionals Accepting New Patients Standards and </w:t>
      </w:r>
      <w:r w:rsidRPr="00D419BD">
        <w:rPr>
          <w:rFonts w:ascii="Arial" w:hAnsi="Arial" w:cs="Arial"/>
          <w:sz w:val="24"/>
          <w:szCs w:val="24"/>
        </w:rPr>
        <w:lastRenderedPageBreak/>
        <w:t xml:space="preserve">Methodology </w:t>
      </w:r>
      <w:r w:rsidR="00BE2F53" w:rsidRPr="00D419BD">
        <w:rPr>
          <w:rFonts w:ascii="Arial" w:hAnsi="Arial" w:cs="Arial"/>
          <w:sz w:val="24"/>
          <w:szCs w:val="24"/>
        </w:rPr>
        <w:t xml:space="preserve">as well as </w:t>
      </w:r>
      <w:r w:rsidRPr="00D419BD">
        <w:rPr>
          <w:rFonts w:ascii="Arial" w:hAnsi="Arial" w:cs="Arial"/>
          <w:sz w:val="24"/>
          <w:szCs w:val="24"/>
        </w:rPr>
        <w:t xml:space="preserve">in the accompanying </w:t>
      </w:r>
      <w:r w:rsidR="008836D6" w:rsidRPr="00D419BD">
        <w:rPr>
          <w:rFonts w:ascii="Arial" w:hAnsi="Arial" w:cs="Arial"/>
          <w:sz w:val="24"/>
          <w:szCs w:val="24"/>
        </w:rPr>
        <w:t>Schedule</w:t>
      </w:r>
      <w:r w:rsidRPr="00D419BD">
        <w:rPr>
          <w:rFonts w:ascii="Arial" w:hAnsi="Arial" w:cs="Arial"/>
          <w:sz w:val="24"/>
          <w:szCs w:val="24"/>
        </w:rPr>
        <w:t xml:space="preserve"> C. The alternative review methodology establishes the approach the D</w:t>
      </w:r>
      <w:r w:rsidR="00B96026" w:rsidRPr="00D419BD">
        <w:rPr>
          <w:rFonts w:ascii="Arial" w:hAnsi="Arial" w:cs="Arial"/>
          <w:sz w:val="24"/>
          <w:szCs w:val="24"/>
        </w:rPr>
        <w:t>MHC</w:t>
      </w:r>
      <w:r w:rsidRPr="00D419BD">
        <w:rPr>
          <w:rFonts w:ascii="Arial" w:hAnsi="Arial" w:cs="Arial"/>
          <w:sz w:val="24"/>
          <w:szCs w:val="24"/>
        </w:rPr>
        <w:t xml:space="preserve"> will take when determining compliance with network adequacy requirements as part of its review obligations as described in </w:t>
      </w:r>
      <w:r w:rsidR="00B96026" w:rsidRPr="00D419BD">
        <w:rPr>
          <w:rFonts w:ascii="Arial" w:hAnsi="Arial" w:cs="Arial"/>
          <w:sz w:val="24"/>
          <w:szCs w:val="24"/>
        </w:rPr>
        <w:t>Health &amp; Safety Code s</w:t>
      </w:r>
      <w:r w:rsidRPr="00D419BD">
        <w:rPr>
          <w:rFonts w:ascii="Arial" w:hAnsi="Arial" w:cs="Arial"/>
          <w:sz w:val="24"/>
          <w:szCs w:val="24"/>
        </w:rPr>
        <w:t xml:space="preserve">ection 1367.035. </w:t>
      </w:r>
      <w:r w:rsidR="009442BE" w:rsidRPr="00D419BD">
        <w:rPr>
          <w:rFonts w:ascii="Arial" w:hAnsi="Arial" w:cs="Arial"/>
          <w:sz w:val="24"/>
          <w:szCs w:val="24"/>
        </w:rPr>
        <w:t xml:space="preserve">If a network meets the criteria described, the DMHC will automatically apply the alternative review methodology when determining compliance with this standard. </w:t>
      </w:r>
      <w:r w:rsidRPr="00D419BD">
        <w:rPr>
          <w:rFonts w:ascii="Arial" w:hAnsi="Arial" w:cs="Arial"/>
          <w:sz w:val="24"/>
          <w:szCs w:val="24"/>
        </w:rPr>
        <w:t xml:space="preserve">It is not necessary for a plan to request application of an alternative review methodology for </w:t>
      </w:r>
      <w:r w:rsidR="00B96026" w:rsidRPr="00D419BD">
        <w:rPr>
          <w:rFonts w:ascii="Arial" w:hAnsi="Arial" w:cs="Arial"/>
          <w:sz w:val="24"/>
          <w:szCs w:val="24"/>
        </w:rPr>
        <w:t>the DMHC to review the plan according to the methodology.</w:t>
      </w:r>
    </w:p>
    <w:p w14:paraId="080043DF" w14:textId="241E34B4" w:rsidR="00F526A0" w:rsidRPr="002C1DD9" w:rsidRDefault="00F526A0" w:rsidP="004D38BF">
      <w:pPr>
        <w:pStyle w:val="ListParagraph"/>
        <w:numPr>
          <w:ilvl w:val="0"/>
          <w:numId w:val="10"/>
        </w:numPr>
        <w:spacing w:after="240"/>
        <w:contextualSpacing w:val="0"/>
        <w:rPr>
          <w:rFonts w:ascii="Arial" w:hAnsi="Arial" w:cs="Arial"/>
          <w:b/>
          <w:bCs/>
          <w:sz w:val="24"/>
          <w:szCs w:val="24"/>
        </w:rPr>
      </w:pPr>
      <w:r w:rsidRPr="002C1DD9">
        <w:rPr>
          <w:rFonts w:ascii="Arial" w:hAnsi="Arial" w:cs="Arial"/>
          <w:b/>
          <w:bCs/>
          <w:sz w:val="24"/>
          <w:szCs w:val="24"/>
        </w:rPr>
        <w:t>When applying the alternative methodology for combining counties described in the</w:t>
      </w:r>
      <w:r w:rsidR="000A64E7" w:rsidRPr="002C1DD9">
        <w:rPr>
          <w:rFonts w:ascii="Arial" w:hAnsi="Arial" w:cs="Arial"/>
          <w:b/>
          <w:bCs/>
          <w:sz w:val="24"/>
          <w:szCs w:val="24"/>
        </w:rPr>
        <w:t xml:space="preserve"> Counseling</w:t>
      </w:r>
      <w:r w:rsidRPr="002C1DD9">
        <w:rPr>
          <w:rFonts w:ascii="Arial" w:hAnsi="Arial" w:cs="Arial"/>
          <w:b/>
          <w:bCs/>
          <w:sz w:val="24"/>
          <w:szCs w:val="24"/>
        </w:rPr>
        <w:t xml:space="preserve"> Non-Physicia</w:t>
      </w:r>
      <w:r w:rsidR="000A64E7" w:rsidRPr="002C1DD9">
        <w:rPr>
          <w:rFonts w:ascii="Arial" w:hAnsi="Arial" w:cs="Arial"/>
          <w:b/>
          <w:bCs/>
          <w:sz w:val="24"/>
          <w:szCs w:val="24"/>
        </w:rPr>
        <w:t>n</w:t>
      </w:r>
      <w:r w:rsidRPr="002C1DD9">
        <w:rPr>
          <w:rFonts w:ascii="Arial" w:hAnsi="Arial" w:cs="Arial"/>
          <w:b/>
          <w:bCs/>
          <w:sz w:val="24"/>
          <w:szCs w:val="24"/>
        </w:rPr>
        <w:t xml:space="preserve"> Mental Health Professionals Accepting New Patients Standards and Methodology, how will the DMHC determine the counties to group, and why is a county only allowed one grouping?</w:t>
      </w:r>
    </w:p>
    <w:p w14:paraId="7E26D492" w14:textId="6F3E047E" w:rsidR="002E577F" w:rsidRPr="00D419BD" w:rsidRDefault="00FF336A" w:rsidP="004D38BF">
      <w:pPr>
        <w:spacing w:after="240"/>
        <w:ind w:left="720"/>
        <w:rPr>
          <w:rFonts w:ascii="Arial" w:hAnsi="Arial" w:cs="Arial"/>
          <w:sz w:val="24"/>
          <w:szCs w:val="24"/>
        </w:rPr>
      </w:pPr>
      <w:r w:rsidRPr="00D419BD">
        <w:rPr>
          <w:rFonts w:ascii="Arial" w:hAnsi="Arial" w:cs="Arial"/>
          <w:sz w:val="24"/>
          <w:szCs w:val="24"/>
        </w:rPr>
        <w:t>If a plan</w:t>
      </w:r>
      <w:r w:rsidR="00042492" w:rsidRPr="00D419BD">
        <w:rPr>
          <w:rFonts w:ascii="Arial" w:hAnsi="Arial" w:cs="Arial"/>
          <w:sz w:val="24"/>
          <w:szCs w:val="24"/>
        </w:rPr>
        <w:t>’s</w:t>
      </w:r>
      <w:r w:rsidRPr="00D419BD">
        <w:rPr>
          <w:rFonts w:ascii="Arial" w:hAnsi="Arial" w:cs="Arial"/>
          <w:sz w:val="24"/>
          <w:szCs w:val="24"/>
        </w:rPr>
        <w:t xml:space="preserve"> network fails to meet the compliance threshold </w:t>
      </w:r>
      <w:r w:rsidR="00F82111" w:rsidRPr="00D419BD">
        <w:rPr>
          <w:rFonts w:ascii="Arial" w:hAnsi="Arial" w:cs="Arial"/>
          <w:sz w:val="24"/>
          <w:szCs w:val="24"/>
        </w:rPr>
        <w:t>for</w:t>
      </w:r>
      <w:r w:rsidR="00FA23E5" w:rsidRPr="00D419BD">
        <w:rPr>
          <w:rFonts w:ascii="Arial" w:hAnsi="Arial" w:cs="Arial"/>
          <w:sz w:val="24"/>
          <w:szCs w:val="24"/>
        </w:rPr>
        <w:t xml:space="preserve"> </w:t>
      </w:r>
      <w:r w:rsidR="001A5F76" w:rsidRPr="00D419BD">
        <w:rPr>
          <w:rFonts w:ascii="Arial" w:hAnsi="Arial" w:cs="Arial"/>
          <w:sz w:val="24"/>
          <w:szCs w:val="24"/>
        </w:rPr>
        <w:t xml:space="preserve">Counseling </w:t>
      </w:r>
      <w:r w:rsidR="00FA23E5" w:rsidRPr="00D419BD">
        <w:rPr>
          <w:rFonts w:ascii="Arial" w:hAnsi="Arial" w:cs="Arial"/>
          <w:sz w:val="24"/>
          <w:szCs w:val="24"/>
        </w:rPr>
        <w:t>MHPs</w:t>
      </w:r>
      <w:r w:rsidR="00F82111" w:rsidRPr="00D419BD">
        <w:rPr>
          <w:rFonts w:ascii="Arial" w:hAnsi="Arial" w:cs="Arial"/>
          <w:sz w:val="24"/>
          <w:szCs w:val="24"/>
        </w:rPr>
        <w:t xml:space="preserve"> accepting new patients </w:t>
      </w:r>
      <w:r w:rsidRPr="00D419BD">
        <w:rPr>
          <w:rFonts w:ascii="Arial" w:hAnsi="Arial" w:cs="Arial"/>
          <w:sz w:val="24"/>
          <w:szCs w:val="24"/>
        </w:rPr>
        <w:t xml:space="preserve">under the standard methodology, the DMHC will apply the alternative review methodology </w:t>
      </w:r>
      <w:r w:rsidR="00021657" w:rsidRPr="00D419BD">
        <w:rPr>
          <w:rFonts w:ascii="Arial" w:hAnsi="Arial" w:cs="Arial"/>
          <w:sz w:val="24"/>
          <w:szCs w:val="24"/>
        </w:rPr>
        <w:t>for combining counties</w:t>
      </w:r>
      <w:r w:rsidR="00F82111" w:rsidRPr="00D419BD">
        <w:rPr>
          <w:rFonts w:ascii="Arial" w:hAnsi="Arial" w:cs="Arial"/>
          <w:sz w:val="24"/>
          <w:szCs w:val="24"/>
        </w:rPr>
        <w:t xml:space="preserve"> set forth in Schedule C</w:t>
      </w:r>
      <w:r w:rsidR="00787096" w:rsidRPr="00D419BD">
        <w:rPr>
          <w:rFonts w:ascii="Arial" w:hAnsi="Arial" w:cs="Arial"/>
          <w:sz w:val="24"/>
          <w:szCs w:val="24"/>
        </w:rPr>
        <w:t>,</w:t>
      </w:r>
      <w:r w:rsidR="00317770" w:rsidRPr="00D419BD">
        <w:rPr>
          <w:rFonts w:ascii="Arial" w:hAnsi="Arial" w:cs="Arial"/>
          <w:sz w:val="24"/>
          <w:szCs w:val="24"/>
        </w:rPr>
        <w:t xml:space="preserve"> when</w:t>
      </w:r>
      <w:r w:rsidR="00F82111" w:rsidRPr="00D419BD">
        <w:rPr>
          <w:rFonts w:ascii="Arial" w:hAnsi="Arial" w:cs="Arial"/>
          <w:sz w:val="24"/>
          <w:szCs w:val="24"/>
        </w:rPr>
        <w:t xml:space="preserve"> applicable</w:t>
      </w:r>
      <w:r w:rsidRPr="00D419BD">
        <w:rPr>
          <w:rFonts w:ascii="Arial" w:hAnsi="Arial" w:cs="Arial"/>
          <w:sz w:val="24"/>
          <w:szCs w:val="24"/>
        </w:rPr>
        <w:t>.</w:t>
      </w:r>
    </w:p>
    <w:p w14:paraId="44BDD330" w14:textId="672C2519" w:rsidR="00D50F34" w:rsidRPr="00D419BD" w:rsidRDefault="00D50F34" w:rsidP="004D38BF">
      <w:pPr>
        <w:spacing w:after="240"/>
        <w:ind w:left="720"/>
        <w:rPr>
          <w:rFonts w:ascii="Arial" w:hAnsi="Arial" w:cs="Arial"/>
          <w:sz w:val="24"/>
          <w:szCs w:val="24"/>
        </w:rPr>
      </w:pPr>
      <w:r w:rsidRPr="00D419BD">
        <w:rPr>
          <w:rFonts w:ascii="Arial" w:hAnsi="Arial" w:cs="Arial"/>
          <w:sz w:val="24"/>
          <w:szCs w:val="24"/>
        </w:rPr>
        <w:t xml:space="preserve">When the DMHC groups counties as part of the alternative review methodology, </w:t>
      </w:r>
      <w:r w:rsidR="005D08A2" w:rsidRPr="00D419BD">
        <w:rPr>
          <w:rFonts w:ascii="Arial" w:hAnsi="Arial" w:cs="Arial"/>
          <w:sz w:val="24"/>
          <w:szCs w:val="24"/>
        </w:rPr>
        <w:t>the</w:t>
      </w:r>
      <w:r w:rsidRPr="00D419BD">
        <w:rPr>
          <w:rFonts w:ascii="Arial" w:hAnsi="Arial" w:cs="Arial"/>
          <w:sz w:val="24"/>
          <w:szCs w:val="24"/>
        </w:rPr>
        <w:t xml:space="preserve"> </w:t>
      </w:r>
      <w:r w:rsidR="00FF104B" w:rsidRPr="00D419BD">
        <w:rPr>
          <w:rFonts w:ascii="Arial" w:hAnsi="Arial" w:cs="Arial"/>
          <w:sz w:val="24"/>
          <w:szCs w:val="24"/>
        </w:rPr>
        <w:t>DMHC examine</w:t>
      </w:r>
      <w:r w:rsidR="0087364C" w:rsidRPr="00D419BD">
        <w:rPr>
          <w:rFonts w:ascii="Arial" w:hAnsi="Arial" w:cs="Arial"/>
          <w:sz w:val="24"/>
          <w:szCs w:val="24"/>
        </w:rPr>
        <w:t>s</w:t>
      </w:r>
      <w:r w:rsidR="00FF104B" w:rsidRPr="00D419BD">
        <w:rPr>
          <w:rFonts w:ascii="Arial" w:hAnsi="Arial" w:cs="Arial"/>
          <w:sz w:val="24"/>
          <w:szCs w:val="24"/>
        </w:rPr>
        <w:t xml:space="preserve"> all </w:t>
      </w:r>
      <w:r w:rsidRPr="00D419BD">
        <w:rPr>
          <w:rFonts w:ascii="Arial" w:hAnsi="Arial" w:cs="Arial"/>
          <w:sz w:val="24"/>
          <w:szCs w:val="24"/>
        </w:rPr>
        <w:t xml:space="preserve">possible groupings for any non-compliant CEAC or Rural counties in the network, and the optimal county grouping(s) are chosen from the set of possible groupings. </w:t>
      </w:r>
      <w:r w:rsidR="00BC6327" w:rsidRPr="00D419BD">
        <w:rPr>
          <w:rFonts w:ascii="Arial" w:hAnsi="Arial" w:cs="Arial"/>
          <w:sz w:val="24"/>
          <w:szCs w:val="24"/>
        </w:rPr>
        <w:t>For example, i</w:t>
      </w:r>
      <w:r w:rsidRPr="00D419BD">
        <w:rPr>
          <w:rFonts w:ascii="Arial" w:hAnsi="Arial" w:cs="Arial"/>
          <w:sz w:val="24"/>
          <w:szCs w:val="24"/>
        </w:rPr>
        <w:t>f there are two counties that are adjacent to a non-compliant CEAC or Rural county</w:t>
      </w:r>
      <w:r w:rsidR="005D08A2" w:rsidRPr="00D419BD">
        <w:rPr>
          <w:rFonts w:ascii="Arial" w:hAnsi="Arial" w:cs="Arial"/>
          <w:sz w:val="24"/>
          <w:szCs w:val="24"/>
        </w:rPr>
        <w:t xml:space="preserve"> </w:t>
      </w:r>
      <w:r w:rsidRPr="00D419BD">
        <w:rPr>
          <w:rFonts w:ascii="Arial" w:hAnsi="Arial" w:cs="Arial"/>
          <w:sz w:val="24"/>
          <w:szCs w:val="24"/>
        </w:rPr>
        <w:t>and compliance can be achieved by grouping with either one of the two compliant counties, then only one county will be combined</w:t>
      </w:r>
      <w:r w:rsidR="00F67645" w:rsidRPr="00D419BD">
        <w:rPr>
          <w:rFonts w:ascii="Arial" w:hAnsi="Arial" w:cs="Arial"/>
          <w:sz w:val="24"/>
          <w:szCs w:val="24"/>
        </w:rPr>
        <w:t xml:space="preserve"> with the non-compliant county</w:t>
      </w:r>
      <w:r w:rsidR="00C0096A" w:rsidRPr="00D419BD">
        <w:rPr>
          <w:rFonts w:ascii="Arial" w:hAnsi="Arial" w:cs="Arial"/>
          <w:sz w:val="24"/>
          <w:szCs w:val="24"/>
        </w:rPr>
        <w:t>.</w:t>
      </w:r>
      <w:r w:rsidR="002919FF" w:rsidRPr="00D419BD">
        <w:rPr>
          <w:rFonts w:ascii="Arial" w:hAnsi="Arial" w:cs="Arial"/>
          <w:sz w:val="24"/>
          <w:szCs w:val="24"/>
        </w:rPr>
        <w:t xml:space="preserve"> The DMHC will </w:t>
      </w:r>
      <w:r w:rsidR="00B24DCD" w:rsidRPr="00D419BD">
        <w:rPr>
          <w:rFonts w:ascii="Arial" w:hAnsi="Arial" w:cs="Arial"/>
          <w:sz w:val="24"/>
          <w:szCs w:val="24"/>
        </w:rPr>
        <w:t>select the grouping</w:t>
      </w:r>
      <w:r w:rsidRPr="00D419BD">
        <w:rPr>
          <w:rFonts w:ascii="Arial" w:hAnsi="Arial" w:cs="Arial"/>
          <w:sz w:val="24"/>
          <w:szCs w:val="24"/>
        </w:rPr>
        <w:t xml:space="preserve"> </w:t>
      </w:r>
      <w:r w:rsidR="00E544A9" w:rsidRPr="00D419BD">
        <w:rPr>
          <w:rFonts w:ascii="Arial" w:hAnsi="Arial" w:cs="Arial"/>
          <w:sz w:val="24"/>
          <w:szCs w:val="24"/>
        </w:rPr>
        <w:t>that adds</w:t>
      </w:r>
      <w:r w:rsidRPr="00D419BD">
        <w:rPr>
          <w:rFonts w:ascii="Arial" w:hAnsi="Arial" w:cs="Arial"/>
          <w:sz w:val="24"/>
          <w:szCs w:val="24"/>
        </w:rPr>
        <w:t xml:space="preserve"> the fewest </w:t>
      </w:r>
      <w:r w:rsidR="00A86D07" w:rsidRPr="00D419BD">
        <w:rPr>
          <w:rFonts w:ascii="Arial" w:hAnsi="Arial" w:cs="Arial"/>
          <w:sz w:val="24"/>
          <w:szCs w:val="24"/>
        </w:rPr>
        <w:t>“</w:t>
      </w:r>
      <w:r w:rsidRPr="00D419BD">
        <w:rPr>
          <w:rFonts w:ascii="Arial" w:hAnsi="Arial" w:cs="Arial"/>
          <w:sz w:val="24"/>
          <w:szCs w:val="24"/>
        </w:rPr>
        <w:t>MHP locations accepting new patients</w:t>
      </w:r>
      <w:r w:rsidR="00A86D07" w:rsidRPr="00D419BD">
        <w:rPr>
          <w:rFonts w:ascii="Arial" w:hAnsi="Arial" w:cs="Arial"/>
          <w:sz w:val="24"/>
          <w:szCs w:val="24"/>
        </w:rPr>
        <w:t>”</w:t>
      </w:r>
      <w:r w:rsidRPr="00D419BD">
        <w:rPr>
          <w:rFonts w:ascii="Arial" w:hAnsi="Arial" w:cs="Arial"/>
          <w:sz w:val="24"/>
          <w:szCs w:val="24"/>
        </w:rPr>
        <w:t xml:space="preserve"> from the adjacent county</w:t>
      </w:r>
      <w:r w:rsidR="003D756E" w:rsidRPr="00D419BD">
        <w:rPr>
          <w:rFonts w:ascii="Arial" w:hAnsi="Arial" w:cs="Arial"/>
          <w:sz w:val="24"/>
          <w:szCs w:val="24"/>
        </w:rPr>
        <w:t xml:space="preserve"> to achieve compliance</w:t>
      </w:r>
      <w:r w:rsidRPr="00D419BD">
        <w:rPr>
          <w:rFonts w:ascii="Arial" w:hAnsi="Arial" w:cs="Arial"/>
          <w:sz w:val="24"/>
          <w:szCs w:val="24"/>
        </w:rPr>
        <w:t>. Similarly, if there are two deficient CEAC or Rural counties in the network and a grouping of counties could achieve compliance in one, but not both counties (i.e.</w:t>
      </w:r>
      <w:r w:rsidR="00632100" w:rsidRPr="00D419BD">
        <w:rPr>
          <w:rFonts w:ascii="Arial" w:hAnsi="Arial" w:cs="Arial"/>
          <w:sz w:val="24"/>
          <w:szCs w:val="24"/>
        </w:rPr>
        <w:t>,</w:t>
      </w:r>
      <w:r w:rsidRPr="00D419BD">
        <w:rPr>
          <w:rFonts w:ascii="Arial" w:hAnsi="Arial" w:cs="Arial"/>
          <w:sz w:val="24"/>
          <w:szCs w:val="24"/>
        </w:rPr>
        <w:t xml:space="preserve"> Grouping A leads to County X passing and County Y failing, and Grouping B leads to County Y passing and </w:t>
      </w:r>
      <w:r w:rsidR="00B50CC0" w:rsidRPr="00D419BD">
        <w:rPr>
          <w:rFonts w:ascii="Arial" w:hAnsi="Arial" w:cs="Arial"/>
          <w:sz w:val="24"/>
          <w:szCs w:val="24"/>
        </w:rPr>
        <w:t xml:space="preserve">County </w:t>
      </w:r>
      <w:r w:rsidRPr="00D419BD">
        <w:rPr>
          <w:rFonts w:ascii="Arial" w:hAnsi="Arial" w:cs="Arial"/>
          <w:sz w:val="24"/>
          <w:szCs w:val="24"/>
        </w:rPr>
        <w:t xml:space="preserve">X failing), the county grouping that requires the </w:t>
      </w:r>
      <w:r w:rsidR="00614E9F" w:rsidRPr="00D419BD">
        <w:rPr>
          <w:rFonts w:ascii="Arial" w:hAnsi="Arial" w:cs="Arial"/>
          <w:sz w:val="24"/>
          <w:szCs w:val="24"/>
        </w:rPr>
        <w:t xml:space="preserve">fewest </w:t>
      </w:r>
      <w:r w:rsidRPr="00D419BD">
        <w:rPr>
          <w:rFonts w:ascii="Arial" w:hAnsi="Arial" w:cs="Arial"/>
          <w:sz w:val="24"/>
          <w:szCs w:val="24"/>
        </w:rPr>
        <w:t>additional MHP locations will be selected (i.e., if Grouping A leads to County Y need</w:t>
      </w:r>
      <w:r w:rsidR="00827F2E" w:rsidRPr="00D419BD">
        <w:rPr>
          <w:rFonts w:ascii="Arial" w:hAnsi="Arial" w:cs="Arial"/>
          <w:sz w:val="24"/>
          <w:szCs w:val="24"/>
        </w:rPr>
        <w:t>ing</w:t>
      </w:r>
      <w:r w:rsidRPr="00D419BD">
        <w:rPr>
          <w:rFonts w:ascii="Arial" w:hAnsi="Arial" w:cs="Arial"/>
          <w:sz w:val="24"/>
          <w:szCs w:val="24"/>
        </w:rPr>
        <w:t xml:space="preserve"> three additional MHP locations accepting new patients, and Grouping B leads to County X needing one additional MHP location accepting new patients, then Grouping B is selected).</w:t>
      </w:r>
    </w:p>
    <w:p w14:paraId="13CE366A" w14:textId="104D4BF9" w:rsidR="000A64E7" w:rsidRPr="00D419BD" w:rsidRDefault="00FF336A" w:rsidP="00BB3F9D">
      <w:pPr>
        <w:spacing w:after="600"/>
        <w:ind w:left="720"/>
        <w:rPr>
          <w:rFonts w:ascii="Arial" w:hAnsi="Arial" w:cs="Arial"/>
          <w:sz w:val="24"/>
          <w:szCs w:val="24"/>
        </w:rPr>
      </w:pPr>
      <w:r w:rsidRPr="00D419BD">
        <w:rPr>
          <w:rFonts w:ascii="Arial" w:hAnsi="Arial" w:cs="Arial"/>
          <w:sz w:val="24"/>
          <w:szCs w:val="24"/>
        </w:rPr>
        <w:t>A</w:t>
      </w:r>
      <w:r w:rsidR="000A64E7" w:rsidRPr="00D419BD">
        <w:rPr>
          <w:rFonts w:ascii="Arial" w:hAnsi="Arial" w:cs="Arial"/>
          <w:sz w:val="24"/>
          <w:szCs w:val="24"/>
        </w:rPr>
        <w:t xml:space="preserve"> county may only be included in one county grouping </w:t>
      </w:r>
      <w:r w:rsidR="00D86CCD" w:rsidRPr="00D419BD">
        <w:rPr>
          <w:rFonts w:ascii="Arial" w:hAnsi="Arial" w:cs="Arial"/>
          <w:sz w:val="24"/>
          <w:szCs w:val="24"/>
        </w:rPr>
        <w:t xml:space="preserve">to avoid double counting </w:t>
      </w:r>
      <w:r w:rsidR="008E37C1" w:rsidRPr="00D419BD">
        <w:rPr>
          <w:rFonts w:ascii="Arial" w:hAnsi="Arial" w:cs="Arial"/>
          <w:sz w:val="24"/>
          <w:szCs w:val="24"/>
        </w:rPr>
        <w:t xml:space="preserve">the providers in </w:t>
      </w:r>
      <w:r w:rsidR="00D86CCD" w:rsidRPr="00D419BD">
        <w:rPr>
          <w:rFonts w:ascii="Arial" w:hAnsi="Arial" w:cs="Arial"/>
          <w:sz w:val="24"/>
          <w:szCs w:val="24"/>
        </w:rPr>
        <w:t xml:space="preserve">that county. </w:t>
      </w:r>
      <w:r w:rsidR="009B38F2" w:rsidRPr="00D419BD">
        <w:rPr>
          <w:rFonts w:ascii="Arial" w:hAnsi="Arial" w:cs="Arial"/>
          <w:sz w:val="24"/>
          <w:szCs w:val="24"/>
        </w:rPr>
        <w:t xml:space="preserve">If a county could </w:t>
      </w:r>
      <w:r w:rsidR="00816A5B" w:rsidRPr="00D419BD">
        <w:rPr>
          <w:rFonts w:ascii="Arial" w:hAnsi="Arial" w:cs="Arial"/>
          <w:sz w:val="24"/>
          <w:szCs w:val="24"/>
        </w:rPr>
        <w:t>exist in multiple different group</w:t>
      </w:r>
      <w:r w:rsidR="009A118F" w:rsidRPr="00D419BD">
        <w:rPr>
          <w:rFonts w:ascii="Arial" w:hAnsi="Arial" w:cs="Arial"/>
          <w:sz w:val="24"/>
          <w:szCs w:val="24"/>
        </w:rPr>
        <w:t>ings</w:t>
      </w:r>
      <w:r w:rsidR="00816A5B" w:rsidRPr="00D419BD">
        <w:rPr>
          <w:rFonts w:ascii="Arial" w:hAnsi="Arial" w:cs="Arial"/>
          <w:sz w:val="24"/>
          <w:szCs w:val="24"/>
        </w:rPr>
        <w:t>,</w:t>
      </w:r>
      <w:r w:rsidR="000A64E7" w:rsidRPr="00D419BD">
        <w:rPr>
          <w:rFonts w:ascii="Arial" w:hAnsi="Arial" w:cs="Arial"/>
          <w:sz w:val="24"/>
          <w:szCs w:val="24"/>
        </w:rPr>
        <w:t xml:space="preserve"> </w:t>
      </w:r>
      <w:r w:rsidR="00816A5B" w:rsidRPr="00D419BD">
        <w:rPr>
          <w:rFonts w:ascii="Arial" w:hAnsi="Arial" w:cs="Arial"/>
          <w:sz w:val="24"/>
          <w:szCs w:val="24"/>
        </w:rPr>
        <w:lastRenderedPageBreak/>
        <w:t xml:space="preserve">then </w:t>
      </w:r>
      <w:r w:rsidR="000A64E7" w:rsidRPr="00D419BD">
        <w:rPr>
          <w:rFonts w:ascii="Arial" w:hAnsi="Arial" w:cs="Arial"/>
          <w:sz w:val="24"/>
          <w:szCs w:val="24"/>
        </w:rPr>
        <w:t>the plan</w:t>
      </w:r>
      <w:r w:rsidR="001C0165" w:rsidRPr="00D419BD">
        <w:rPr>
          <w:rFonts w:ascii="Arial" w:hAnsi="Arial" w:cs="Arial"/>
          <w:sz w:val="24"/>
          <w:szCs w:val="24"/>
        </w:rPr>
        <w:t>’s</w:t>
      </w:r>
      <w:r w:rsidR="000A64E7" w:rsidRPr="00D419BD">
        <w:rPr>
          <w:rFonts w:ascii="Arial" w:hAnsi="Arial" w:cs="Arial"/>
          <w:sz w:val="24"/>
          <w:szCs w:val="24"/>
        </w:rPr>
        <w:t xml:space="preserve"> network would appear to have more network providers accepting new patients than are </w:t>
      </w:r>
      <w:r w:rsidR="00816A5B" w:rsidRPr="00D419BD">
        <w:rPr>
          <w:rFonts w:ascii="Arial" w:hAnsi="Arial" w:cs="Arial"/>
          <w:sz w:val="24"/>
          <w:szCs w:val="24"/>
        </w:rPr>
        <w:t xml:space="preserve">actually </w:t>
      </w:r>
      <w:r w:rsidR="000A64E7" w:rsidRPr="00D419BD">
        <w:rPr>
          <w:rFonts w:ascii="Arial" w:hAnsi="Arial" w:cs="Arial"/>
          <w:sz w:val="24"/>
          <w:szCs w:val="24"/>
        </w:rPr>
        <w:t xml:space="preserve">available in the network. </w:t>
      </w:r>
      <w:r w:rsidR="00C61D45" w:rsidRPr="00D419BD">
        <w:rPr>
          <w:rFonts w:ascii="Arial" w:hAnsi="Arial" w:cs="Arial"/>
          <w:sz w:val="24"/>
          <w:szCs w:val="24"/>
        </w:rPr>
        <w:t>Ultimately</w:t>
      </w:r>
      <w:r w:rsidR="000A64E7" w:rsidRPr="00D419BD">
        <w:rPr>
          <w:rFonts w:ascii="Arial" w:hAnsi="Arial" w:cs="Arial"/>
          <w:sz w:val="24"/>
          <w:szCs w:val="24"/>
        </w:rPr>
        <w:t>, the percent</w:t>
      </w:r>
      <w:r w:rsidR="00C61D45" w:rsidRPr="00D419BD">
        <w:rPr>
          <w:rFonts w:ascii="Arial" w:hAnsi="Arial" w:cs="Arial"/>
          <w:sz w:val="24"/>
          <w:szCs w:val="24"/>
        </w:rPr>
        <w:t>age</w:t>
      </w:r>
      <w:r w:rsidR="000A64E7" w:rsidRPr="00D419BD">
        <w:rPr>
          <w:rFonts w:ascii="Arial" w:hAnsi="Arial" w:cs="Arial"/>
          <w:sz w:val="24"/>
          <w:szCs w:val="24"/>
        </w:rPr>
        <w:t xml:space="preserve"> of Counseling MHPs accepting new patients should reflect the availability of the total number of Counseling MHP</w:t>
      </w:r>
      <w:r w:rsidR="00215343" w:rsidRPr="00D419BD">
        <w:rPr>
          <w:rFonts w:ascii="Arial" w:hAnsi="Arial" w:cs="Arial"/>
          <w:sz w:val="24"/>
          <w:szCs w:val="24"/>
        </w:rPr>
        <w:t>s</w:t>
      </w:r>
      <w:r w:rsidR="000A64E7" w:rsidRPr="00D419BD">
        <w:rPr>
          <w:rFonts w:ascii="Arial" w:hAnsi="Arial" w:cs="Arial"/>
          <w:sz w:val="24"/>
          <w:szCs w:val="24"/>
        </w:rPr>
        <w:t xml:space="preserve"> in the network, based on the complete roster of providers submitted for that network in the Annual Network Report.</w:t>
      </w:r>
    </w:p>
    <w:p w14:paraId="6725658C" w14:textId="504BA58B" w:rsidR="00F457BB" w:rsidRPr="002C1DD9" w:rsidRDefault="00F457BB" w:rsidP="004D38BF">
      <w:pPr>
        <w:pStyle w:val="ListParagraph"/>
        <w:numPr>
          <w:ilvl w:val="0"/>
          <w:numId w:val="10"/>
        </w:numPr>
        <w:spacing w:after="240"/>
        <w:contextualSpacing w:val="0"/>
        <w:rPr>
          <w:rFonts w:ascii="Arial" w:hAnsi="Arial" w:cs="Arial"/>
          <w:b/>
          <w:bCs/>
          <w:sz w:val="24"/>
          <w:szCs w:val="24"/>
        </w:rPr>
      </w:pPr>
      <w:r w:rsidRPr="002C1DD9">
        <w:rPr>
          <w:rFonts w:ascii="Arial" w:hAnsi="Arial" w:cs="Arial"/>
          <w:b/>
          <w:bCs/>
          <w:sz w:val="24"/>
          <w:szCs w:val="24"/>
        </w:rPr>
        <w:t>When applying the alternative review methodology described in the Compliance Threshold for Counseling MHPs, Accepting New Patients, will the DMHC disclose its findings to the plan?</w:t>
      </w:r>
    </w:p>
    <w:p w14:paraId="5C4CD235" w14:textId="7D316AE0" w:rsidR="00280D8F" w:rsidRPr="00D419BD" w:rsidRDefault="00280D8F" w:rsidP="00BB3F9D">
      <w:pPr>
        <w:spacing w:after="600"/>
        <w:ind w:left="720"/>
        <w:rPr>
          <w:rFonts w:ascii="Arial" w:hAnsi="Arial" w:cs="Arial"/>
          <w:sz w:val="24"/>
          <w:szCs w:val="24"/>
        </w:rPr>
      </w:pPr>
      <w:r w:rsidRPr="00D419BD">
        <w:rPr>
          <w:rFonts w:ascii="Arial" w:hAnsi="Arial" w:cs="Arial"/>
          <w:sz w:val="24"/>
          <w:szCs w:val="24"/>
        </w:rPr>
        <w:t xml:space="preserve">The DMHC will issue findings to plans based on the Annual Network Report submission. </w:t>
      </w:r>
      <w:r w:rsidR="00AD0D52" w:rsidRPr="00D419BD">
        <w:rPr>
          <w:rFonts w:ascii="Arial" w:hAnsi="Arial" w:cs="Arial"/>
          <w:sz w:val="24"/>
          <w:szCs w:val="24"/>
        </w:rPr>
        <w:t>The DMHC will provide p</w:t>
      </w:r>
      <w:r w:rsidRPr="00D419BD">
        <w:rPr>
          <w:rFonts w:ascii="Arial" w:hAnsi="Arial" w:cs="Arial"/>
          <w:sz w:val="24"/>
          <w:szCs w:val="24"/>
        </w:rPr>
        <w:t xml:space="preserve">lans that do not meet </w:t>
      </w:r>
      <w:r w:rsidR="004E0791" w:rsidRPr="00D419BD">
        <w:rPr>
          <w:rFonts w:ascii="Arial" w:hAnsi="Arial" w:cs="Arial"/>
          <w:sz w:val="24"/>
          <w:szCs w:val="24"/>
        </w:rPr>
        <w:t xml:space="preserve">the </w:t>
      </w:r>
      <w:r w:rsidRPr="00D419BD">
        <w:rPr>
          <w:rFonts w:ascii="Arial" w:hAnsi="Arial" w:cs="Arial"/>
          <w:sz w:val="24"/>
          <w:szCs w:val="24"/>
        </w:rPr>
        <w:t>compliance</w:t>
      </w:r>
      <w:r w:rsidR="004E0791" w:rsidRPr="00D419BD">
        <w:rPr>
          <w:rFonts w:ascii="Arial" w:hAnsi="Arial" w:cs="Arial"/>
          <w:sz w:val="24"/>
          <w:szCs w:val="24"/>
        </w:rPr>
        <w:t xml:space="preserve"> threshold</w:t>
      </w:r>
      <w:r w:rsidRPr="00D419BD">
        <w:rPr>
          <w:rFonts w:ascii="Arial" w:hAnsi="Arial" w:cs="Arial"/>
          <w:sz w:val="24"/>
          <w:szCs w:val="24"/>
        </w:rPr>
        <w:t xml:space="preserve"> </w:t>
      </w:r>
      <w:r w:rsidR="00AD0D52" w:rsidRPr="00D419BD">
        <w:rPr>
          <w:rFonts w:ascii="Arial" w:hAnsi="Arial" w:cs="Arial"/>
          <w:sz w:val="24"/>
          <w:szCs w:val="24"/>
        </w:rPr>
        <w:t>with</w:t>
      </w:r>
      <w:r w:rsidRPr="00D419BD">
        <w:rPr>
          <w:rFonts w:ascii="Arial" w:hAnsi="Arial" w:cs="Arial"/>
          <w:sz w:val="24"/>
          <w:szCs w:val="24"/>
        </w:rPr>
        <w:t xml:space="preserve"> information concerning the areas of non-compliance, and if applicable, any alternative review methodology applied to CEAC or Rural counties.</w:t>
      </w:r>
      <w:r w:rsidR="001F5723" w:rsidRPr="00D419BD">
        <w:rPr>
          <w:rFonts w:ascii="Arial" w:hAnsi="Arial" w:cs="Arial"/>
          <w:sz w:val="24"/>
          <w:szCs w:val="24"/>
        </w:rPr>
        <w:t xml:space="preserve"> Plans will </w:t>
      </w:r>
      <w:r w:rsidR="00262180" w:rsidRPr="00D419BD">
        <w:rPr>
          <w:rFonts w:ascii="Arial" w:hAnsi="Arial" w:cs="Arial"/>
          <w:sz w:val="24"/>
          <w:szCs w:val="24"/>
        </w:rPr>
        <w:t>also receive</w:t>
      </w:r>
      <w:r w:rsidR="001F5723" w:rsidRPr="00D419BD">
        <w:rPr>
          <w:rFonts w:ascii="Arial" w:hAnsi="Arial" w:cs="Arial"/>
          <w:sz w:val="24"/>
          <w:szCs w:val="24"/>
        </w:rPr>
        <w:t xml:space="preserve"> the results of the county groupings for any remaining non-compliant Rural/CEAC counties as part of the </w:t>
      </w:r>
      <w:r w:rsidR="009A0D8D" w:rsidRPr="00D419BD">
        <w:rPr>
          <w:rFonts w:ascii="Arial" w:hAnsi="Arial" w:cs="Arial"/>
          <w:sz w:val="24"/>
          <w:szCs w:val="24"/>
        </w:rPr>
        <w:t>N</w:t>
      </w:r>
      <w:r w:rsidR="001F5723" w:rsidRPr="00D419BD">
        <w:rPr>
          <w:rFonts w:ascii="Arial" w:hAnsi="Arial" w:cs="Arial"/>
          <w:sz w:val="24"/>
          <w:szCs w:val="24"/>
        </w:rPr>
        <w:t>etwork</w:t>
      </w:r>
      <w:r w:rsidR="009A0D8D" w:rsidRPr="00D419BD">
        <w:rPr>
          <w:rFonts w:ascii="Arial" w:hAnsi="Arial" w:cs="Arial"/>
          <w:sz w:val="24"/>
          <w:szCs w:val="24"/>
        </w:rPr>
        <w:t xml:space="preserve"> F</w:t>
      </w:r>
      <w:r w:rsidR="001F5723" w:rsidRPr="00D419BD">
        <w:rPr>
          <w:rFonts w:ascii="Arial" w:hAnsi="Arial" w:cs="Arial"/>
          <w:sz w:val="24"/>
          <w:szCs w:val="24"/>
        </w:rPr>
        <w:t xml:space="preserve">indings </w:t>
      </w:r>
      <w:r w:rsidR="009A0D8D" w:rsidRPr="00D419BD">
        <w:rPr>
          <w:rFonts w:ascii="Arial" w:hAnsi="Arial" w:cs="Arial"/>
          <w:sz w:val="24"/>
          <w:szCs w:val="24"/>
        </w:rPr>
        <w:t>R</w:t>
      </w:r>
      <w:r w:rsidR="001F5723" w:rsidRPr="00D419BD">
        <w:rPr>
          <w:rFonts w:ascii="Arial" w:hAnsi="Arial" w:cs="Arial"/>
          <w:sz w:val="24"/>
          <w:szCs w:val="24"/>
        </w:rPr>
        <w:t xml:space="preserve">eport issued to plans on an annual basis. </w:t>
      </w:r>
      <w:r w:rsidR="00003B15" w:rsidRPr="00D419BD">
        <w:rPr>
          <w:rFonts w:ascii="Arial" w:hAnsi="Arial" w:cs="Arial"/>
          <w:sz w:val="24"/>
          <w:szCs w:val="24"/>
        </w:rPr>
        <w:t>Furthermore, t</w:t>
      </w:r>
      <w:r w:rsidR="001F5723" w:rsidRPr="00D419BD">
        <w:rPr>
          <w:rFonts w:ascii="Arial" w:hAnsi="Arial" w:cs="Arial"/>
          <w:sz w:val="24"/>
          <w:szCs w:val="24"/>
        </w:rPr>
        <w:t xml:space="preserve">he DMHC will provide a county adjacency file that will allow plans to assess what county groupings are possible. </w:t>
      </w:r>
      <w:r w:rsidR="00BB1DD6" w:rsidRPr="00D419BD">
        <w:rPr>
          <w:rFonts w:ascii="Arial" w:hAnsi="Arial" w:cs="Arial"/>
          <w:sz w:val="24"/>
          <w:szCs w:val="24"/>
        </w:rPr>
        <w:t>Plans</w:t>
      </w:r>
      <w:r w:rsidR="001F5723" w:rsidRPr="00D419BD">
        <w:rPr>
          <w:rFonts w:ascii="Arial" w:hAnsi="Arial" w:cs="Arial"/>
          <w:sz w:val="24"/>
          <w:szCs w:val="24"/>
        </w:rPr>
        <w:t xml:space="preserve"> </w:t>
      </w:r>
      <w:r w:rsidR="0031177E" w:rsidRPr="00D419BD">
        <w:rPr>
          <w:rFonts w:ascii="Arial" w:hAnsi="Arial" w:cs="Arial"/>
          <w:sz w:val="24"/>
          <w:szCs w:val="24"/>
        </w:rPr>
        <w:t>will have</w:t>
      </w:r>
      <w:r w:rsidR="001F5723" w:rsidRPr="00D419BD">
        <w:rPr>
          <w:rFonts w:ascii="Arial" w:hAnsi="Arial" w:cs="Arial"/>
          <w:sz w:val="24"/>
          <w:szCs w:val="24"/>
        </w:rPr>
        <w:t xml:space="preserve"> the opportunity to respond to the findings and propose corrective action. A </w:t>
      </w:r>
      <w:r w:rsidR="00BB1DD6" w:rsidRPr="00D419BD">
        <w:rPr>
          <w:rFonts w:ascii="Arial" w:hAnsi="Arial" w:cs="Arial"/>
          <w:sz w:val="24"/>
          <w:szCs w:val="24"/>
        </w:rPr>
        <w:t>plan</w:t>
      </w:r>
      <w:r w:rsidR="001F5723" w:rsidRPr="00D419BD">
        <w:rPr>
          <w:rFonts w:ascii="Arial" w:hAnsi="Arial" w:cs="Arial"/>
          <w:sz w:val="24"/>
          <w:szCs w:val="24"/>
        </w:rPr>
        <w:t xml:space="preserve"> may propose a different county grouping combination as part of the plan</w:t>
      </w:r>
      <w:r w:rsidR="00F555BE" w:rsidRPr="00D419BD">
        <w:rPr>
          <w:rFonts w:ascii="Arial" w:hAnsi="Arial" w:cs="Arial"/>
          <w:sz w:val="24"/>
          <w:szCs w:val="24"/>
        </w:rPr>
        <w:t>’</w:t>
      </w:r>
      <w:r w:rsidR="001F5723" w:rsidRPr="00D419BD">
        <w:rPr>
          <w:rFonts w:ascii="Arial" w:hAnsi="Arial" w:cs="Arial"/>
          <w:sz w:val="24"/>
          <w:szCs w:val="24"/>
        </w:rPr>
        <w:t>s response or proposed corrective action, as applicable. However, a new alternative access county grouping may impact other counties within the plan</w:t>
      </w:r>
      <w:r w:rsidR="007A23C2" w:rsidRPr="00D419BD">
        <w:rPr>
          <w:rFonts w:ascii="Arial" w:hAnsi="Arial" w:cs="Arial"/>
          <w:sz w:val="24"/>
          <w:szCs w:val="24"/>
        </w:rPr>
        <w:t>’</w:t>
      </w:r>
      <w:r w:rsidR="001F5723" w:rsidRPr="00D419BD">
        <w:rPr>
          <w:rFonts w:ascii="Arial" w:hAnsi="Arial" w:cs="Arial"/>
          <w:sz w:val="24"/>
          <w:szCs w:val="24"/>
        </w:rPr>
        <w:t>s network service area that fell within the DMHC</w:t>
      </w:r>
      <w:r w:rsidR="004B6647" w:rsidRPr="00D419BD">
        <w:rPr>
          <w:rFonts w:ascii="Arial" w:hAnsi="Arial" w:cs="Arial"/>
          <w:sz w:val="24"/>
          <w:szCs w:val="24"/>
        </w:rPr>
        <w:t>’</w:t>
      </w:r>
      <w:r w:rsidR="001F5723" w:rsidRPr="00D419BD">
        <w:rPr>
          <w:rFonts w:ascii="Arial" w:hAnsi="Arial" w:cs="Arial"/>
          <w:sz w:val="24"/>
          <w:szCs w:val="24"/>
        </w:rPr>
        <w:t>s alternative review methodology for county groupings. The Plan</w:t>
      </w:r>
      <w:r w:rsidR="00872AC1" w:rsidRPr="00D419BD">
        <w:rPr>
          <w:rFonts w:ascii="Arial" w:hAnsi="Arial" w:cs="Arial"/>
          <w:sz w:val="24"/>
          <w:szCs w:val="24"/>
        </w:rPr>
        <w:t>’</w:t>
      </w:r>
      <w:r w:rsidR="001F5723" w:rsidRPr="00D419BD">
        <w:rPr>
          <w:rFonts w:ascii="Arial" w:hAnsi="Arial" w:cs="Arial"/>
          <w:sz w:val="24"/>
          <w:szCs w:val="24"/>
        </w:rPr>
        <w:t>s corrective action would need to address how a new county grouping would impact all affected counties that are subject to the alternative review standard.</w:t>
      </w:r>
    </w:p>
    <w:p w14:paraId="30BAC039" w14:textId="74AF212C" w:rsidR="00E53A57" w:rsidRPr="00325AAE" w:rsidRDefault="004F7E9C" w:rsidP="0095726C">
      <w:pPr>
        <w:pStyle w:val="AccessibleHeader"/>
        <w:spacing w:before="0"/>
      </w:pPr>
      <w:r>
        <w:t>Mental Health Geographic Access</w:t>
      </w:r>
      <w:r w:rsidR="001575F1" w:rsidRPr="00325AAE">
        <w:t xml:space="preserve"> </w:t>
      </w:r>
      <w:r w:rsidR="00BB3713">
        <w:t xml:space="preserve">Standards and Methodology </w:t>
      </w:r>
      <w:r w:rsidR="001575F1" w:rsidRPr="00325AAE">
        <w:t>FAQ</w:t>
      </w:r>
      <w:r w:rsidR="00320D42">
        <w:t xml:space="preserve"> Responses</w:t>
      </w:r>
      <w:r w:rsidR="00325AAE">
        <w:t>:</w:t>
      </w:r>
    </w:p>
    <w:p w14:paraId="064117F8" w14:textId="3AF0F228" w:rsidR="003A4D92" w:rsidRPr="002C1DD9" w:rsidRDefault="003A4D92" w:rsidP="0094326B">
      <w:pPr>
        <w:pStyle w:val="ListParagraph"/>
        <w:numPr>
          <w:ilvl w:val="0"/>
          <w:numId w:val="11"/>
        </w:numPr>
        <w:spacing w:after="240"/>
        <w:contextualSpacing w:val="0"/>
        <w:rPr>
          <w:rFonts w:ascii="Arial" w:hAnsi="Arial" w:cs="Arial"/>
          <w:b/>
          <w:bCs/>
          <w:sz w:val="24"/>
          <w:szCs w:val="24"/>
        </w:rPr>
      </w:pPr>
      <w:r w:rsidRPr="002C1DD9">
        <w:rPr>
          <w:rFonts w:ascii="Arial" w:hAnsi="Arial" w:cs="Arial"/>
          <w:b/>
          <w:bCs/>
          <w:sz w:val="24"/>
          <w:szCs w:val="24"/>
        </w:rPr>
        <w:t>How did the D</w:t>
      </w:r>
      <w:r w:rsidR="008B30BB" w:rsidRPr="002C1DD9">
        <w:rPr>
          <w:rFonts w:ascii="Arial" w:hAnsi="Arial" w:cs="Arial"/>
          <w:b/>
          <w:bCs/>
          <w:sz w:val="24"/>
          <w:szCs w:val="24"/>
        </w:rPr>
        <w:t>MHC</w:t>
      </w:r>
      <w:r w:rsidRPr="002C1DD9">
        <w:rPr>
          <w:rFonts w:ascii="Arial" w:hAnsi="Arial" w:cs="Arial"/>
          <w:b/>
          <w:bCs/>
          <w:sz w:val="24"/>
          <w:szCs w:val="24"/>
        </w:rPr>
        <w:t xml:space="preserve"> determine the</w:t>
      </w:r>
      <w:r w:rsidR="007D643F" w:rsidRPr="002C1DD9">
        <w:rPr>
          <w:rFonts w:ascii="Arial" w:hAnsi="Arial" w:cs="Arial"/>
          <w:b/>
          <w:bCs/>
          <w:sz w:val="24"/>
          <w:szCs w:val="24"/>
        </w:rPr>
        <w:t xml:space="preserve"> </w:t>
      </w:r>
      <w:r w:rsidRPr="002C1DD9">
        <w:rPr>
          <w:rFonts w:ascii="Arial" w:hAnsi="Arial" w:cs="Arial"/>
          <w:b/>
          <w:bCs/>
          <w:sz w:val="24"/>
          <w:szCs w:val="24"/>
        </w:rPr>
        <w:t>distance standards for mental health facilities in Micro, Rural</w:t>
      </w:r>
      <w:r w:rsidR="00A74B38" w:rsidRPr="002C1DD9">
        <w:rPr>
          <w:rFonts w:ascii="Arial" w:hAnsi="Arial" w:cs="Arial"/>
          <w:b/>
          <w:bCs/>
          <w:sz w:val="24"/>
          <w:szCs w:val="24"/>
        </w:rPr>
        <w:t>,</w:t>
      </w:r>
      <w:r w:rsidRPr="002C1DD9">
        <w:rPr>
          <w:rFonts w:ascii="Arial" w:hAnsi="Arial" w:cs="Arial"/>
          <w:b/>
          <w:bCs/>
          <w:sz w:val="24"/>
          <w:szCs w:val="24"/>
        </w:rPr>
        <w:t xml:space="preserve"> and CEAC counties? </w:t>
      </w:r>
      <w:r w:rsidR="007D643F" w:rsidRPr="002C1DD9">
        <w:rPr>
          <w:rFonts w:ascii="Arial" w:hAnsi="Arial" w:cs="Arial"/>
          <w:b/>
          <w:bCs/>
          <w:sz w:val="24"/>
          <w:szCs w:val="24"/>
        </w:rPr>
        <w:t>Are there</w:t>
      </w:r>
      <w:r w:rsidRPr="002C1DD9">
        <w:rPr>
          <w:rFonts w:ascii="Arial" w:hAnsi="Arial" w:cs="Arial"/>
          <w:b/>
          <w:bCs/>
          <w:sz w:val="24"/>
          <w:szCs w:val="24"/>
        </w:rPr>
        <w:t xml:space="preserve"> facility location limitations for these county classifications, or other specific data to support the longer driving miles?</w:t>
      </w:r>
    </w:p>
    <w:p w14:paraId="797D4172" w14:textId="334BAB18" w:rsidR="007F6977" w:rsidRPr="00D419BD" w:rsidRDefault="00281175" w:rsidP="00FE3A14">
      <w:pPr>
        <w:spacing w:after="600"/>
        <w:ind w:left="720"/>
        <w:rPr>
          <w:rFonts w:ascii="Arial" w:hAnsi="Arial" w:cs="Arial"/>
          <w:sz w:val="24"/>
          <w:szCs w:val="24"/>
        </w:rPr>
      </w:pPr>
      <w:r w:rsidRPr="00D419BD">
        <w:rPr>
          <w:rFonts w:ascii="Arial" w:hAnsi="Arial" w:cs="Arial"/>
          <w:sz w:val="24"/>
          <w:szCs w:val="24"/>
        </w:rPr>
        <w:t>The Micro, Rural</w:t>
      </w:r>
      <w:r w:rsidR="00EC592F" w:rsidRPr="00D419BD">
        <w:rPr>
          <w:rFonts w:ascii="Arial" w:hAnsi="Arial" w:cs="Arial"/>
          <w:sz w:val="24"/>
          <w:szCs w:val="24"/>
        </w:rPr>
        <w:t>,</w:t>
      </w:r>
      <w:r w:rsidRPr="00D419BD">
        <w:rPr>
          <w:rFonts w:ascii="Arial" w:hAnsi="Arial" w:cs="Arial"/>
          <w:sz w:val="24"/>
          <w:szCs w:val="24"/>
        </w:rPr>
        <w:t xml:space="preserve"> and CEAC distance standards for mental health facilities reflect the actual availability of mental health facility locations in these county types, for the facility types subject to review under this standard. The distances for Micro, </w:t>
      </w:r>
      <w:r w:rsidRPr="00D419BD">
        <w:rPr>
          <w:rFonts w:ascii="Arial" w:hAnsi="Arial" w:cs="Arial"/>
          <w:sz w:val="24"/>
          <w:szCs w:val="24"/>
        </w:rPr>
        <w:lastRenderedPageBreak/>
        <w:t>Rural</w:t>
      </w:r>
      <w:r w:rsidR="00CE48F5" w:rsidRPr="00D419BD">
        <w:rPr>
          <w:rFonts w:ascii="Arial" w:hAnsi="Arial" w:cs="Arial"/>
          <w:sz w:val="24"/>
          <w:szCs w:val="24"/>
        </w:rPr>
        <w:t>,</w:t>
      </w:r>
      <w:r w:rsidRPr="00D419BD">
        <w:rPr>
          <w:rFonts w:ascii="Arial" w:hAnsi="Arial" w:cs="Arial"/>
          <w:sz w:val="24"/>
          <w:szCs w:val="24"/>
        </w:rPr>
        <w:t xml:space="preserve"> and CEAC counties </w:t>
      </w:r>
      <w:r w:rsidR="009444C6" w:rsidRPr="00D419BD">
        <w:rPr>
          <w:rFonts w:ascii="Arial" w:hAnsi="Arial" w:cs="Arial"/>
          <w:sz w:val="24"/>
          <w:szCs w:val="24"/>
        </w:rPr>
        <w:t>have been reviewed and</w:t>
      </w:r>
      <w:r w:rsidRPr="00D419BD">
        <w:rPr>
          <w:rFonts w:ascii="Arial" w:hAnsi="Arial" w:cs="Arial"/>
          <w:sz w:val="24"/>
          <w:szCs w:val="24"/>
        </w:rPr>
        <w:t xml:space="preserve"> revised in response to stakeholder feedback. Additional mental health facility types </w:t>
      </w:r>
      <w:r w:rsidR="009444C6" w:rsidRPr="00D419BD">
        <w:rPr>
          <w:rFonts w:ascii="Arial" w:hAnsi="Arial" w:cs="Arial"/>
          <w:sz w:val="24"/>
          <w:szCs w:val="24"/>
        </w:rPr>
        <w:t>have also been</w:t>
      </w:r>
      <w:r w:rsidRPr="00D419BD">
        <w:rPr>
          <w:rFonts w:ascii="Arial" w:hAnsi="Arial" w:cs="Arial"/>
          <w:sz w:val="24"/>
          <w:szCs w:val="24"/>
        </w:rPr>
        <w:t xml:space="preserve"> added to the definition of </w:t>
      </w:r>
      <w:r w:rsidR="00CE48F5" w:rsidRPr="00D419BD">
        <w:rPr>
          <w:rFonts w:ascii="Arial" w:hAnsi="Arial" w:cs="Arial"/>
          <w:sz w:val="24"/>
          <w:szCs w:val="24"/>
        </w:rPr>
        <w:t>“</w:t>
      </w:r>
      <w:r w:rsidRPr="00D419BD">
        <w:rPr>
          <w:rFonts w:ascii="Arial" w:hAnsi="Arial" w:cs="Arial"/>
          <w:sz w:val="24"/>
          <w:szCs w:val="24"/>
        </w:rPr>
        <w:t>mental hea</w:t>
      </w:r>
      <w:r w:rsidR="00836067" w:rsidRPr="00D419BD">
        <w:rPr>
          <w:rFonts w:ascii="Arial" w:hAnsi="Arial" w:cs="Arial"/>
          <w:sz w:val="24"/>
          <w:szCs w:val="24"/>
        </w:rPr>
        <w:t>l</w:t>
      </w:r>
      <w:r w:rsidRPr="00D419BD">
        <w:rPr>
          <w:rFonts w:ascii="Arial" w:hAnsi="Arial" w:cs="Arial"/>
          <w:sz w:val="24"/>
          <w:szCs w:val="24"/>
        </w:rPr>
        <w:t>th facility</w:t>
      </w:r>
      <w:r w:rsidR="00CE48F5" w:rsidRPr="00D419BD">
        <w:rPr>
          <w:rFonts w:ascii="Arial" w:hAnsi="Arial" w:cs="Arial"/>
          <w:sz w:val="24"/>
          <w:szCs w:val="24"/>
        </w:rPr>
        <w:t>”</w:t>
      </w:r>
      <w:r w:rsidRPr="00D419BD">
        <w:rPr>
          <w:rFonts w:ascii="Arial" w:hAnsi="Arial" w:cs="Arial"/>
          <w:sz w:val="24"/>
          <w:szCs w:val="24"/>
        </w:rPr>
        <w:t xml:space="preserve"> resulting in greater availability in these county types.</w:t>
      </w:r>
    </w:p>
    <w:p w14:paraId="249F6D5A" w14:textId="1D68BC36" w:rsidR="007F6977" w:rsidRPr="002C1DD9" w:rsidRDefault="007F6977" w:rsidP="00030573">
      <w:pPr>
        <w:pStyle w:val="ListParagraph"/>
        <w:numPr>
          <w:ilvl w:val="0"/>
          <w:numId w:val="11"/>
        </w:numPr>
        <w:spacing w:after="240"/>
        <w:contextualSpacing w:val="0"/>
        <w:rPr>
          <w:rFonts w:ascii="Arial" w:hAnsi="Arial" w:cs="Arial"/>
          <w:b/>
          <w:bCs/>
          <w:sz w:val="24"/>
          <w:szCs w:val="24"/>
        </w:rPr>
      </w:pPr>
      <w:r w:rsidRPr="002C1DD9">
        <w:rPr>
          <w:rFonts w:ascii="Arial" w:hAnsi="Arial" w:cs="Arial"/>
          <w:b/>
          <w:bCs/>
          <w:sz w:val="24"/>
          <w:szCs w:val="24"/>
        </w:rPr>
        <w:t xml:space="preserve">The </w:t>
      </w:r>
      <w:r w:rsidR="00D82C3E" w:rsidRPr="002C1DD9">
        <w:rPr>
          <w:rFonts w:ascii="Arial" w:hAnsi="Arial" w:cs="Arial"/>
          <w:b/>
          <w:bCs/>
          <w:sz w:val="24"/>
          <w:szCs w:val="24"/>
        </w:rPr>
        <w:t xml:space="preserve">Mental Health Geographic Access Standards and Methodology uses </w:t>
      </w:r>
      <w:r w:rsidRPr="002C1DD9">
        <w:rPr>
          <w:rFonts w:ascii="Arial" w:hAnsi="Arial" w:cs="Arial"/>
          <w:b/>
          <w:bCs/>
          <w:sz w:val="24"/>
          <w:szCs w:val="24"/>
        </w:rPr>
        <w:t>Medicare Advantage county types to inform the standards (i.e.</w:t>
      </w:r>
      <w:r w:rsidR="00F92BFD" w:rsidRPr="002C1DD9">
        <w:rPr>
          <w:rFonts w:ascii="Arial" w:hAnsi="Arial" w:cs="Arial"/>
          <w:b/>
          <w:bCs/>
          <w:sz w:val="24"/>
          <w:szCs w:val="24"/>
        </w:rPr>
        <w:t>,</w:t>
      </w:r>
      <w:r w:rsidRPr="002C1DD9">
        <w:rPr>
          <w:rFonts w:ascii="Arial" w:hAnsi="Arial" w:cs="Arial"/>
          <w:b/>
          <w:bCs/>
          <w:sz w:val="24"/>
          <w:szCs w:val="24"/>
        </w:rPr>
        <w:t xml:space="preserve"> Large Metro, Metro, Micro, Rural</w:t>
      </w:r>
      <w:r w:rsidR="00F92BFD" w:rsidRPr="002C1DD9">
        <w:rPr>
          <w:rFonts w:ascii="Arial" w:hAnsi="Arial" w:cs="Arial"/>
          <w:b/>
          <w:bCs/>
          <w:sz w:val="24"/>
          <w:szCs w:val="24"/>
        </w:rPr>
        <w:t>,</w:t>
      </w:r>
      <w:r w:rsidRPr="002C1DD9">
        <w:rPr>
          <w:rFonts w:ascii="Arial" w:hAnsi="Arial" w:cs="Arial"/>
          <w:b/>
          <w:bCs/>
          <w:sz w:val="24"/>
          <w:szCs w:val="24"/>
        </w:rPr>
        <w:t xml:space="preserve"> and CEAC). </w:t>
      </w:r>
      <w:r w:rsidR="00753A51" w:rsidRPr="002C1DD9">
        <w:rPr>
          <w:rFonts w:ascii="Arial" w:hAnsi="Arial" w:cs="Arial"/>
          <w:b/>
          <w:bCs/>
          <w:sz w:val="24"/>
          <w:szCs w:val="24"/>
        </w:rPr>
        <w:t xml:space="preserve">Unlike the Medicare Advantage geographic access standards, the DMHC subdivides some counties based on </w:t>
      </w:r>
      <w:r w:rsidR="00763F5D" w:rsidRPr="002C1DD9">
        <w:rPr>
          <w:rFonts w:ascii="Arial" w:hAnsi="Arial" w:cs="Arial"/>
          <w:b/>
          <w:bCs/>
          <w:sz w:val="24"/>
          <w:szCs w:val="24"/>
        </w:rPr>
        <w:t>ZIP Codes with lower population densities</w:t>
      </w:r>
      <w:r w:rsidR="00F07232" w:rsidRPr="002C1DD9">
        <w:rPr>
          <w:rFonts w:ascii="Arial" w:hAnsi="Arial" w:cs="Arial"/>
          <w:b/>
          <w:bCs/>
          <w:sz w:val="24"/>
          <w:szCs w:val="24"/>
        </w:rPr>
        <w:t xml:space="preserve"> and allows for longer travel distances for enrollees residing in those ZIP Codes</w:t>
      </w:r>
      <w:r w:rsidR="00763F5D" w:rsidRPr="002C1DD9">
        <w:rPr>
          <w:rFonts w:ascii="Arial" w:hAnsi="Arial" w:cs="Arial"/>
          <w:b/>
          <w:bCs/>
          <w:sz w:val="24"/>
          <w:szCs w:val="24"/>
        </w:rPr>
        <w:t>.</w:t>
      </w:r>
      <w:r w:rsidR="00F07232" w:rsidRPr="002C1DD9">
        <w:rPr>
          <w:rFonts w:ascii="Arial" w:hAnsi="Arial" w:cs="Arial"/>
          <w:b/>
          <w:bCs/>
          <w:sz w:val="24"/>
          <w:szCs w:val="24"/>
        </w:rPr>
        <w:t xml:space="preserve"> </w:t>
      </w:r>
      <w:r w:rsidRPr="002C1DD9">
        <w:rPr>
          <w:rFonts w:ascii="Arial" w:hAnsi="Arial" w:cs="Arial"/>
          <w:b/>
          <w:bCs/>
          <w:sz w:val="24"/>
          <w:szCs w:val="24"/>
        </w:rPr>
        <w:t xml:space="preserve">How does the DMHC </w:t>
      </w:r>
      <w:r w:rsidR="00F07232" w:rsidRPr="002C1DD9">
        <w:rPr>
          <w:rFonts w:ascii="Arial" w:hAnsi="Arial" w:cs="Arial"/>
          <w:b/>
          <w:bCs/>
          <w:sz w:val="24"/>
          <w:szCs w:val="24"/>
        </w:rPr>
        <w:t xml:space="preserve">ensure that people living in the lower density ZIP Codes </w:t>
      </w:r>
      <w:r w:rsidR="00F63D65" w:rsidRPr="002C1DD9">
        <w:rPr>
          <w:rFonts w:ascii="Arial" w:hAnsi="Arial" w:cs="Arial"/>
          <w:b/>
          <w:bCs/>
          <w:sz w:val="24"/>
          <w:szCs w:val="24"/>
        </w:rPr>
        <w:t xml:space="preserve">have reasonable access to care when </w:t>
      </w:r>
      <w:r w:rsidR="00BB1DD6" w:rsidRPr="002C1DD9">
        <w:rPr>
          <w:rFonts w:ascii="Arial" w:hAnsi="Arial" w:cs="Arial"/>
          <w:b/>
          <w:bCs/>
          <w:sz w:val="24"/>
          <w:szCs w:val="24"/>
        </w:rPr>
        <w:t>plan</w:t>
      </w:r>
      <w:r w:rsidR="00F63D65" w:rsidRPr="002C1DD9">
        <w:rPr>
          <w:rFonts w:ascii="Arial" w:hAnsi="Arial" w:cs="Arial"/>
          <w:b/>
          <w:bCs/>
          <w:sz w:val="24"/>
          <w:szCs w:val="24"/>
        </w:rPr>
        <w:t xml:space="preserve">s are allowed to </w:t>
      </w:r>
      <w:r w:rsidR="00373C50" w:rsidRPr="002C1DD9">
        <w:rPr>
          <w:rFonts w:ascii="Arial" w:hAnsi="Arial" w:cs="Arial"/>
          <w:b/>
          <w:bCs/>
          <w:sz w:val="24"/>
          <w:szCs w:val="24"/>
        </w:rPr>
        <w:t>require those enrollees to travel a longer distance?</w:t>
      </w:r>
    </w:p>
    <w:p w14:paraId="3513CC09" w14:textId="0D053B2C" w:rsidR="0051112F" w:rsidRPr="00D419BD" w:rsidRDefault="0053783F" w:rsidP="00030573">
      <w:pPr>
        <w:spacing w:after="240"/>
        <w:ind w:left="720"/>
        <w:rPr>
          <w:rFonts w:ascii="Arial" w:hAnsi="Arial" w:cs="Arial"/>
          <w:sz w:val="24"/>
          <w:szCs w:val="24"/>
        </w:rPr>
      </w:pPr>
      <w:r w:rsidRPr="00D419BD">
        <w:rPr>
          <w:rFonts w:ascii="Arial" w:hAnsi="Arial" w:cs="Arial"/>
          <w:sz w:val="24"/>
          <w:szCs w:val="24"/>
        </w:rPr>
        <w:t>Within the</w:t>
      </w:r>
      <w:r w:rsidR="00A60906" w:rsidRPr="00D419BD">
        <w:rPr>
          <w:rFonts w:ascii="Arial" w:hAnsi="Arial" w:cs="Arial"/>
          <w:sz w:val="24"/>
          <w:szCs w:val="24"/>
        </w:rPr>
        <w:t xml:space="preserve"> Mental Health Geographic Access Standards and Methodology</w:t>
      </w:r>
      <w:r w:rsidRPr="00D419BD">
        <w:rPr>
          <w:rFonts w:ascii="Arial" w:hAnsi="Arial" w:cs="Arial"/>
          <w:sz w:val="24"/>
          <w:szCs w:val="24"/>
        </w:rPr>
        <w:t xml:space="preserve">, </w:t>
      </w:r>
      <w:r w:rsidR="00A60906" w:rsidRPr="00D419BD">
        <w:rPr>
          <w:rFonts w:ascii="Arial" w:hAnsi="Arial" w:cs="Arial"/>
          <w:sz w:val="24"/>
          <w:szCs w:val="24"/>
        </w:rPr>
        <w:t>the D</w:t>
      </w:r>
      <w:r w:rsidR="00A02772" w:rsidRPr="00D419BD">
        <w:rPr>
          <w:rFonts w:ascii="Arial" w:hAnsi="Arial" w:cs="Arial"/>
          <w:sz w:val="24"/>
          <w:szCs w:val="24"/>
        </w:rPr>
        <w:t xml:space="preserve">MHC </w:t>
      </w:r>
      <w:r w:rsidR="00A60906" w:rsidRPr="00D419BD">
        <w:rPr>
          <w:rFonts w:ascii="Arial" w:hAnsi="Arial" w:cs="Arial"/>
          <w:sz w:val="24"/>
          <w:szCs w:val="24"/>
        </w:rPr>
        <w:t xml:space="preserve">will apply </w:t>
      </w:r>
      <w:r w:rsidRPr="00D419BD">
        <w:rPr>
          <w:rFonts w:ascii="Arial" w:hAnsi="Arial" w:cs="Arial"/>
          <w:sz w:val="24"/>
          <w:szCs w:val="24"/>
        </w:rPr>
        <w:t xml:space="preserve">an alternative </w:t>
      </w:r>
      <w:r w:rsidR="00A60906" w:rsidRPr="00D419BD">
        <w:rPr>
          <w:rFonts w:ascii="Arial" w:hAnsi="Arial" w:cs="Arial"/>
          <w:sz w:val="24"/>
          <w:szCs w:val="24"/>
        </w:rPr>
        <w:t xml:space="preserve">standard </w:t>
      </w:r>
      <w:r w:rsidR="005A35B2" w:rsidRPr="00D419BD">
        <w:rPr>
          <w:rFonts w:ascii="Arial" w:hAnsi="Arial" w:cs="Arial"/>
          <w:sz w:val="24"/>
          <w:szCs w:val="24"/>
        </w:rPr>
        <w:t xml:space="preserve">for certain county types, </w:t>
      </w:r>
      <w:r w:rsidR="00A60906" w:rsidRPr="00D419BD">
        <w:rPr>
          <w:rFonts w:ascii="Arial" w:hAnsi="Arial" w:cs="Arial"/>
          <w:sz w:val="24"/>
          <w:szCs w:val="24"/>
        </w:rPr>
        <w:t xml:space="preserve">when the county contains both densely populated and sparsely populated areas and the distribution of these areas within the county makes a significant difference to the distance an individual would be required to </w:t>
      </w:r>
      <w:r w:rsidR="00F02AAC" w:rsidRPr="00D419BD">
        <w:rPr>
          <w:rFonts w:ascii="Arial" w:hAnsi="Arial" w:cs="Arial"/>
          <w:sz w:val="24"/>
          <w:szCs w:val="24"/>
        </w:rPr>
        <w:t xml:space="preserve">travel </w:t>
      </w:r>
      <w:r w:rsidR="00A60906" w:rsidRPr="00D419BD">
        <w:rPr>
          <w:rFonts w:ascii="Arial" w:hAnsi="Arial" w:cs="Arial"/>
          <w:sz w:val="24"/>
          <w:szCs w:val="24"/>
        </w:rPr>
        <w:t xml:space="preserve">to see a provider. </w:t>
      </w:r>
      <w:r w:rsidR="00DB13E9" w:rsidRPr="00D419BD">
        <w:rPr>
          <w:rFonts w:ascii="Arial" w:hAnsi="Arial" w:cs="Arial"/>
          <w:sz w:val="24"/>
          <w:szCs w:val="24"/>
        </w:rPr>
        <w:t xml:space="preserve">The DMHC has developed this alternative distance methodology to account for the </w:t>
      </w:r>
      <w:r w:rsidR="00530DD5" w:rsidRPr="00D419BD">
        <w:rPr>
          <w:rFonts w:ascii="Arial" w:hAnsi="Arial" w:cs="Arial"/>
          <w:sz w:val="24"/>
          <w:szCs w:val="24"/>
        </w:rPr>
        <w:t>fact that there are fewer providers available in the low-density ZIP Codes and</w:t>
      </w:r>
      <w:r w:rsidR="00C60B25" w:rsidRPr="00D419BD">
        <w:rPr>
          <w:rFonts w:ascii="Arial" w:hAnsi="Arial" w:cs="Arial"/>
          <w:sz w:val="24"/>
          <w:szCs w:val="24"/>
        </w:rPr>
        <w:t xml:space="preserve"> to hold plans to an achievable standard that is sufficiently rigorous to ensure </w:t>
      </w:r>
      <w:r w:rsidR="00F53993" w:rsidRPr="00D419BD">
        <w:rPr>
          <w:rFonts w:ascii="Arial" w:hAnsi="Arial" w:cs="Arial"/>
          <w:sz w:val="24"/>
          <w:szCs w:val="24"/>
        </w:rPr>
        <w:t>enrollees still have reasonable access.</w:t>
      </w:r>
    </w:p>
    <w:p w14:paraId="1C39F8F4" w14:textId="504026DD" w:rsidR="0008281E" w:rsidRPr="00D419BD" w:rsidRDefault="00F53993" w:rsidP="00030573">
      <w:pPr>
        <w:spacing w:after="240"/>
        <w:ind w:left="720"/>
        <w:rPr>
          <w:rFonts w:ascii="Arial" w:hAnsi="Arial" w:cs="Arial"/>
          <w:sz w:val="24"/>
          <w:szCs w:val="24"/>
        </w:rPr>
      </w:pPr>
      <w:r w:rsidRPr="00D419BD">
        <w:rPr>
          <w:rFonts w:ascii="Arial" w:hAnsi="Arial" w:cs="Arial"/>
          <w:sz w:val="24"/>
          <w:szCs w:val="24"/>
        </w:rPr>
        <w:t xml:space="preserve">While it is true that the Medicare Advantage distance standards are uniform for each county type, the Medicare Advantage program also </w:t>
      </w:r>
      <w:r w:rsidR="00873016" w:rsidRPr="00D419BD">
        <w:rPr>
          <w:rFonts w:ascii="Arial" w:hAnsi="Arial" w:cs="Arial"/>
          <w:sz w:val="24"/>
          <w:szCs w:val="24"/>
        </w:rPr>
        <w:t xml:space="preserve">has </w:t>
      </w:r>
      <w:r w:rsidR="009F7B9F" w:rsidRPr="00D419BD">
        <w:rPr>
          <w:rFonts w:ascii="Arial" w:hAnsi="Arial" w:cs="Arial"/>
          <w:sz w:val="24"/>
          <w:szCs w:val="24"/>
        </w:rPr>
        <w:t xml:space="preserve">a </w:t>
      </w:r>
      <w:r w:rsidR="00BB3BD2" w:rsidRPr="00D419BD">
        <w:rPr>
          <w:rFonts w:ascii="Arial" w:hAnsi="Arial" w:cs="Arial"/>
          <w:sz w:val="24"/>
          <w:szCs w:val="24"/>
        </w:rPr>
        <w:t xml:space="preserve">process </w:t>
      </w:r>
      <w:r w:rsidR="008E558A" w:rsidRPr="00D419BD">
        <w:rPr>
          <w:rFonts w:ascii="Arial" w:hAnsi="Arial" w:cs="Arial"/>
          <w:sz w:val="24"/>
          <w:szCs w:val="24"/>
        </w:rPr>
        <w:t xml:space="preserve">for plans to request </w:t>
      </w:r>
      <w:r w:rsidR="003D6427" w:rsidRPr="00D419BD">
        <w:rPr>
          <w:rFonts w:ascii="Arial" w:hAnsi="Arial" w:cs="Arial"/>
          <w:sz w:val="24"/>
          <w:szCs w:val="24"/>
        </w:rPr>
        <w:t xml:space="preserve">an exception to the established distance standards when a county’s supply of providers is </w:t>
      </w:r>
      <w:r w:rsidR="00BC65F0" w:rsidRPr="00D419BD">
        <w:rPr>
          <w:rFonts w:ascii="Arial" w:hAnsi="Arial" w:cs="Arial"/>
          <w:sz w:val="24"/>
          <w:szCs w:val="24"/>
        </w:rPr>
        <w:t>such that the plan cannot meet the criteria.</w:t>
      </w:r>
      <w:r w:rsidR="008E558A" w:rsidRPr="00D419BD">
        <w:rPr>
          <w:rFonts w:ascii="Arial" w:hAnsi="Arial" w:cs="Arial"/>
          <w:sz w:val="24"/>
          <w:szCs w:val="24"/>
        </w:rPr>
        <w:t xml:space="preserve"> </w:t>
      </w:r>
      <w:r w:rsidR="00765C96" w:rsidRPr="00D419BD">
        <w:rPr>
          <w:rFonts w:ascii="Arial" w:hAnsi="Arial" w:cs="Arial"/>
          <w:sz w:val="24"/>
          <w:szCs w:val="24"/>
        </w:rPr>
        <w:t>This approach has also been adopted by other oversight agencies, such as the Department of Health Care Services.</w:t>
      </w:r>
    </w:p>
    <w:p w14:paraId="4B4530A6" w14:textId="768284F4" w:rsidR="00315644" w:rsidRPr="00D419BD" w:rsidRDefault="0008281E" w:rsidP="00351713">
      <w:pPr>
        <w:spacing w:after="240"/>
        <w:ind w:left="720"/>
        <w:rPr>
          <w:rFonts w:ascii="Arial" w:hAnsi="Arial" w:cs="Arial"/>
          <w:sz w:val="24"/>
          <w:szCs w:val="24"/>
        </w:rPr>
      </w:pPr>
      <w:r w:rsidRPr="00D419BD">
        <w:rPr>
          <w:rFonts w:ascii="Arial" w:hAnsi="Arial" w:cs="Arial"/>
          <w:sz w:val="24"/>
          <w:szCs w:val="24"/>
        </w:rPr>
        <w:t>Rather than adopt an exception process, t</w:t>
      </w:r>
      <w:r w:rsidR="00873016" w:rsidRPr="00D419BD">
        <w:rPr>
          <w:rFonts w:ascii="Arial" w:hAnsi="Arial" w:cs="Arial"/>
          <w:sz w:val="24"/>
          <w:szCs w:val="24"/>
        </w:rPr>
        <w:t xml:space="preserve">he DMHC </w:t>
      </w:r>
      <w:r w:rsidR="00777217" w:rsidRPr="00D419BD">
        <w:rPr>
          <w:rFonts w:ascii="Arial" w:hAnsi="Arial" w:cs="Arial"/>
          <w:sz w:val="24"/>
          <w:szCs w:val="24"/>
        </w:rPr>
        <w:t>developed th</w:t>
      </w:r>
      <w:r w:rsidR="00035F6E" w:rsidRPr="00D419BD">
        <w:rPr>
          <w:rFonts w:ascii="Arial" w:hAnsi="Arial" w:cs="Arial"/>
          <w:sz w:val="24"/>
          <w:szCs w:val="24"/>
        </w:rPr>
        <w:t xml:space="preserve">e </w:t>
      </w:r>
      <w:r w:rsidR="003D1207" w:rsidRPr="00D419BD">
        <w:rPr>
          <w:rFonts w:ascii="Arial" w:hAnsi="Arial" w:cs="Arial"/>
          <w:sz w:val="24"/>
          <w:szCs w:val="24"/>
        </w:rPr>
        <w:t xml:space="preserve">alternative distance </w:t>
      </w:r>
      <w:r w:rsidR="00561FEF" w:rsidRPr="00D419BD">
        <w:rPr>
          <w:rFonts w:ascii="Arial" w:hAnsi="Arial" w:cs="Arial"/>
          <w:sz w:val="24"/>
          <w:szCs w:val="24"/>
        </w:rPr>
        <w:t>methodology</w:t>
      </w:r>
      <w:r w:rsidR="004E6327" w:rsidRPr="00D419BD">
        <w:rPr>
          <w:rFonts w:ascii="Arial" w:hAnsi="Arial" w:cs="Arial"/>
          <w:sz w:val="24"/>
          <w:szCs w:val="24"/>
        </w:rPr>
        <w:t xml:space="preserve"> to address </w:t>
      </w:r>
      <w:r w:rsidR="004B7261" w:rsidRPr="00D419BD">
        <w:rPr>
          <w:rFonts w:ascii="Arial" w:hAnsi="Arial" w:cs="Arial"/>
          <w:sz w:val="24"/>
          <w:szCs w:val="24"/>
        </w:rPr>
        <w:t>areas that cannot meet the established standards due to the supply of providers</w:t>
      </w:r>
      <w:r w:rsidRPr="00D419BD">
        <w:rPr>
          <w:rFonts w:ascii="Arial" w:hAnsi="Arial" w:cs="Arial"/>
          <w:sz w:val="24"/>
          <w:szCs w:val="24"/>
        </w:rPr>
        <w:t>.</w:t>
      </w:r>
      <w:r w:rsidR="00E036AE" w:rsidRPr="00D419BD">
        <w:rPr>
          <w:rFonts w:ascii="Arial" w:hAnsi="Arial" w:cs="Arial"/>
          <w:sz w:val="24"/>
          <w:szCs w:val="24"/>
        </w:rPr>
        <w:t xml:space="preserve"> </w:t>
      </w:r>
      <w:r w:rsidRPr="00D419BD">
        <w:rPr>
          <w:rFonts w:ascii="Arial" w:hAnsi="Arial" w:cs="Arial"/>
          <w:sz w:val="24"/>
          <w:szCs w:val="24"/>
        </w:rPr>
        <w:t>Th</w:t>
      </w:r>
      <w:r w:rsidR="00305B77" w:rsidRPr="00D419BD">
        <w:rPr>
          <w:rFonts w:ascii="Arial" w:hAnsi="Arial" w:cs="Arial"/>
          <w:sz w:val="24"/>
          <w:szCs w:val="24"/>
        </w:rPr>
        <w:t xml:space="preserve">e alternative distance </w:t>
      </w:r>
      <w:r w:rsidR="004718DE" w:rsidRPr="00D419BD">
        <w:rPr>
          <w:rFonts w:ascii="Arial" w:hAnsi="Arial" w:cs="Arial"/>
          <w:sz w:val="24"/>
          <w:szCs w:val="24"/>
        </w:rPr>
        <w:t>standard</w:t>
      </w:r>
      <w:r w:rsidRPr="00D419BD">
        <w:rPr>
          <w:rFonts w:ascii="Arial" w:hAnsi="Arial" w:cs="Arial"/>
          <w:sz w:val="24"/>
          <w:szCs w:val="24"/>
        </w:rPr>
        <w:t xml:space="preserve"> </w:t>
      </w:r>
      <w:r w:rsidR="00B838A6" w:rsidRPr="00D419BD">
        <w:rPr>
          <w:rFonts w:ascii="Arial" w:hAnsi="Arial" w:cs="Arial"/>
          <w:sz w:val="24"/>
          <w:szCs w:val="24"/>
        </w:rPr>
        <w:t>allow</w:t>
      </w:r>
      <w:r w:rsidR="00983473" w:rsidRPr="00D419BD">
        <w:rPr>
          <w:rFonts w:ascii="Arial" w:hAnsi="Arial" w:cs="Arial"/>
          <w:sz w:val="24"/>
          <w:szCs w:val="24"/>
        </w:rPr>
        <w:t>s for the application of</w:t>
      </w:r>
      <w:r w:rsidR="009B6C20" w:rsidRPr="00D419BD">
        <w:rPr>
          <w:rFonts w:ascii="Arial" w:hAnsi="Arial" w:cs="Arial"/>
          <w:sz w:val="24"/>
          <w:szCs w:val="24"/>
        </w:rPr>
        <w:t xml:space="preserve"> </w:t>
      </w:r>
      <w:r w:rsidR="00C02DC7" w:rsidRPr="00D419BD">
        <w:rPr>
          <w:rFonts w:ascii="Arial" w:hAnsi="Arial" w:cs="Arial"/>
          <w:sz w:val="24"/>
          <w:szCs w:val="24"/>
        </w:rPr>
        <w:t xml:space="preserve">alternative distances only for </w:t>
      </w:r>
      <w:r w:rsidR="0077004A" w:rsidRPr="00D419BD">
        <w:rPr>
          <w:rFonts w:ascii="Arial" w:hAnsi="Arial" w:cs="Arial"/>
          <w:sz w:val="24"/>
          <w:szCs w:val="24"/>
        </w:rPr>
        <w:t xml:space="preserve">identified </w:t>
      </w:r>
      <w:r w:rsidR="008B1DE6" w:rsidRPr="00D419BD">
        <w:rPr>
          <w:rFonts w:ascii="Arial" w:hAnsi="Arial" w:cs="Arial"/>
          <w:sz w:val="24"/>
          <w:szCs w:val="24"/>
        </w:rPr>
        <w:t>low</w:t>
      </w:r>
      <w:r w:rsidR="00056549" w:rsidRPr="00D419BD">
        <w:rPr>
          <w:rFonts w:ascii="Arial" w:hAnsi="Arial" w:cs="Arial"/>
          <w:sz w:val="24"/>
          <w:szCs w:val="24"/>
        </w:rPr>
        <w:t>-</w:t>
      </w:r>
      <w:r w:rsidR="008B1DE6" w:rsidRPr="00D419BD">
        <w:rPr>
          <w:rFonts w:ascii="Arial" w:hAnsi="Arial" w:cs="Arial"/>
          <w:sz w:val="24"/>
          <w:szCs w:val="24"/>
        </w:rPr>
        <w:t>density ZIP Codes</w:t>
      </w:r>
      <w:r w:rsidR="00983473" w:rsidRPr="00D419BD">
        <w:rPr>
          <w:rFonts w:ascii="Arial" w:hAnsi="Arial" w:cs="Arial"/>
          <w:sz w:val="24"/>
          <w:szCs w:val="24"/>
        </w:rPr>
        <w:t xml:space="preserve"> </w:t>
      </w:r>
      <w:r w:rsidR="00AC6A14" w:rsidRPr="00D419BD">
        <w:rPr>
          <w:rFonts w:ascii="Arial" w:hAnsi="Arial" w:cs="Arial"/>
          <w:sz w:val="24"/>
          <w:szCs w:val="24"/>
        </w:rPr>
        <w:t>in specified counties</w:t>
      </w:r>
      <w:r w:rsidR="002C2F6C" w:rsidRPr="00D419BD">
        <w:rPr>
          <w:rFonts w:ascii="Arial" w:hAnsi="Arial" w:cs="Arial"/>
          <w:sz w:val="24"/>
          <w:szCs w:val="24"/>
        </w:rPr>
        <w:t>. The</w:t>
      </w:r>
      <w:r w:rsidR="00765C96" w:rsidRPr="00D419BD">
        <w:rPr>
          <w:rFonts w:ascii="Arial" w:hAnsi="Arial" w:cs="Arial"/>
          <w:sz w:val="24"/>
          <w:szCs w:val="24"/>
        </w:rPr>
        <w:t xml:space="preserve"> </w:t>
      </w:r>
      <w:r w:rsidR="00D413EC" w:rsidRPr="00D419BD">
        <w:rPr>
          <w:rFonts w:ascii="Arial" w:hAnsi="Arial" w:cs="Arial"/>
          <w:sz w:val="24"/>
          <w:szCs w:val="24"/>
        </w:rPr>
        <w:t>requirement</w:t>
      </w:r>
      <w:r w:rsidR="005537A6" w:rsidRPr="00D419BD">
        <w:rPr>
          <w:rFonts w:ascii="Arial" w:hAnsi="Arial" w:cs="Arial"/>
          <w:sz w:val="24"/>
          <w:szCs w:val="24"/>
        </w:rPr>
        <w:t xml:space="preserve"> </w:t>
      </w:r>
      <w:r w:rsidR="00315644" w:rsidRPr="00D419BD">
        <w:rPr>
          <w:rFonts w:ascii="Arial" w:hAnsi="Arial" w:cs="Arial"/>
          <w:sz w:val="24"/>
          <w:szCs w:val="24"/>
        </w:rPr>
        <w:t>establish</w:t>
      </w:r>
      <w:r w:rsidR="00537557" w:rsidRPr="00D419BD">
        <w:rPr>
          <w:rFonts w:ascii="Arial" w:hAnsi="Arial" w:cs="Arial"/>
          <w:sz w:val="24"/>
          <w:szCs w:val="24"/>
        </w:rPr>
        <w:t>es</w:t>
      </w:r>
      <w:r w:rsidR="00315644" w:rsidRPr="00D419BD">
        <w:rPr>
          <w:rFonts w:ascii="Arial" w:hAnsi="Arial" w:cs="Arial"/>
          <w:sz w:val="24"/>
          <w:szCs w:val="24"/>
        </w:rPr>
        <w:t xml:space="preserve"> clear </w:t>
      </w:r>
      <w:r w:rsidR="00537557" w:rsidRPr="00D419BD">
        <w:rPr>
          <w:rFonts w:ascii="Arial" w:hAnsi="Arial" w:cs="Arial"/>
          <w:sz w:val="24"/>
          <w:szCs w:val="24"/>
        </w:rPr>
        <w:t xml:space="preserve">and transparent </w:t>
      </w:r>
      <w:r w:rsidR="00315644" w:rsidRPr="00D419BD">
        <w:rPr>
          <w:rFonts w:ascii="Arial" w:hAnsi="Arial" w:cs="Arial"/>
          <w:sz w:val="24"/>
          <w:szCs w:val="24"/>
        </w:rPr>
        <w:t xml:space="preserve">alternative distance standards that are achievable and are applied only in those scenarios when the known availability of providers makes it </w:t>
      </w:r>
      <w:r w:rsidR="00081E34" w:rsidRPr="00D419BD">
        <w:rPr>
          <w:rFonts w:ascii="Arial" w:hAnsi="Arial" w:cs="Arial"/>
          <w:sz w:val="24"/>
          <w:szCs w:val="24"/>
        </w:rPr>
        <w:t xml:space="preserve">extremely unlikely </w:t>
      </w:r>
      <w:r w:rsidR="00315644" w:rsidRPr="00D419BD">
        <w:rPr>
          <w:rFonts w:ascii="Arial" w:hAnsi="Arial" w:cs="Arial"/>
          <w:sz w:val="24"/>
          <w:szCs w:val="24"/>
        </w:rPr>
        <w:t xml:space="preserve">for </w:t>
      </w:r>
      <w:r w:rsidR="00A84D90" w:rsidRPr="00D419BD">
        <w:rPr>
          <w:rFonts w:ascii="Arial" w:hAnsi="Arial" w:cs="Arial"/>
          <w:sz w:val="24"/>
          <w:szCs w:val="24"/>
        </w:rPr>
        <w:t>plan</w:t>
      </w:r>
      <w:r w:rsidR="00315644" w:rsidRPr="00D419BD">
        <w:rPr>
          <w:rFonts w:ascii="Arial" w:hAnsi="Arial" w:cs="Arial"/>
          <w:sz w:val="24"/>
          <w:szCs w:val="24"/>
        </w:rPr>
        <w:t>s to meet the established criteria.</w:t>
      </w:r>
    </w:p>
    <w:p w14:paraId="2F411F46" w14:textId="660BC998" w:rsidR="00A60906" w:rsidRPr="00D419BD" w:rsidRDefault="00315644" w:rsidP="00FE3A14">
      <w:pPr>
        <w:spacing w:after="600"/>
        <w:ind w:left="720"/>
        <w:rPr>
          <w:rFonts w:ascii="Arial" w:hAnsi="Arial" w:cs="Arial"/>
          <w:sz w:val="24"/>
          <w:szCs w:val="24"/>
        </w:rPr>
      </w:pPr>
      <w:r w:rsidRPr="00D419BD">
        <w:rPr>
          <w:rFonts w:ascii="Arial" w:hAnsi="Arial" w:cs="Arial"/>
          <w:sz w:val="24"/>
          <w:szCs w:val="24"/>
        </w:rPr>
        <w:lastRenderedPageBreak/>
        <w:t xml:space="preserve">Furthermore, </w:t>
      </w:r>
      <w:r w:rsidR="00873016" w:rsidRPr="00D419BD">
        <w:rPr>
          <w:rFonts w:ascii="Arial" w:hAnsi="Arial" w:cs="Arial"/>
          <w:sz w:val="24"/>
          <w:szCs w:val="24"/>
        </w:rPr>
        <w:t xml:space="preserve">an individualized </w:t>
      </w:r>
      <w:r w:rsidRPr="00D419BD">
        <w:rPr>
          <w:rFonts w:ascii="Arial" w:hAnsi="Arial" w:cs="Arial"/>
          <w:sz w:val="24"/>
          <w:szCs w:val="24"/>
        </w:rPr>
        <w:t xml:space="preserve">exception process where </w:t>
      </w:r>
      <w:r w:rsidR="000B6FE7" w:rsidRPr="00D419BD">
        <w:rPr>
          <w:rFonts w:ascii="Arial" w:hAnsi="Arial" w:cs="Arial"/>
          <w:sz w:val="24"/>
          <w:szCs w:val="24"/>
        </w:rPr>
        <w:t>plan</w:t>
      </w:r>
      <w:r w:rsidRPr="00D419BD">
        <w:rPr>
          <w:rFonts w:ascii="Arial" w:hAnsi="Arial" w:cs="Arial"/>
          <w:sz w:val="24"/>
          <w:szCs w:val="24"/>
        </w:rPr>
        <w:t xml:space="preserve">s must </w:t>
      </w:r>
      <w:r w:rsidR="000F3967" w:rsidRPr="00D419BD">
        <w:rPr>
          <w:rFonts w:ascii="Arial" w:hAnsi="Arial" w:cs="Arial"/>
          <w:sz w:val="24"/>
          <w:szCs w:val="24"/>
        </w:rPr>
        <w:t>separately request alternative standards</w:t>
      </w:r>
      <w:r w:rsidR="00873016" w:rsidRPr="00D419BD">
        <w:rPr>
          <w:rFonts w:ascii="Arial" w:hAnsi="Arial" w:cs="Arial"/>
          <w:sz w:val="24"/>
          <w:szCs w:val="24"/>
        </w:rPr>
        <w:t xml:space="preserve"> </w:t>
      </w:r>
      <w:r w:rsidR="009A1F84" w:rsidRPr="00D419BD">
        <w:rPr>
          <w:rFonts w:ascii="Arial" w:hAnsi="Arial" w:cs="Arial"/>
          <w:sz w:val="24"/>
          <w:szCs w:val="24"/>
        </w:rPr>
        <w:t xml:space="preserve">could </w:t>
      </w:r>
      <w:r w:rsidR="00873016" w:rsidRPr="00D419BD">
        <w:rPr>
          <w:rFonts w:ascii="Arial" w:hAnsi="Arial" w:cs="Arial"/>
          <w:sz w:val="24"/>
          <w:szCs w:val="24"/>
        </w:rPr>
        <w:t xml:space="preserve">result in inequitable access for enrollees in rural areas across plan networks, as each plan may have an approved alternative distance that varies from its competitors in the same </w:t>
      </w:r>
      <w:r w:rsidR="0051112F" w:rsidRPr="00D419BD">
        <w:rPr>
          <w:rFonts w:ascii="Arial" w:hAnsi="Arial" w:cs="Arial"/>
          <w:sz w:val="24"/>
          <w:szCs w:val="24"/>
        </w:rPr>
        <w:t xml:space="preserve">area. Applying a uniform </w:t>
      </w:r>
      <w:r w:rsidR="009A1F84" w:rsidRPr="00D419BD">
        <w:rPr>
          <w:rFonts w:ascii="Arial" w:hAnsi="Arial" w:cs="Arial"/>
          <w:sz w:val="24"/>
          <w:szCs w:val="24"/>
        </w:rPr>
        <w:t>alternative distance methodology allows for equity across plans.</w:t>
      </w:r>
    </w:p>
    <w:p w14:paraId="013CC7FF" w14:textId="692E7251" w:rsidR="00C40FFC" w:rsidRPr="002C1DD9" w:rsidRDefault="00C40FFC" w:rsidP="00351713">
      <w:pPr>
        <w:pStyle w:val="ListParagraph"/>
        <w:numPr>
          <w:ilvl w:val="0"/>
          <w:numId w:val="11"/>
        </w:numPr>
        <w:spacing w:after="240"/>
        <w:contextualSpacing w:val="0"/>
        <w:rPr>
          <w:rFonts w:ascii="Arial" w:hAnsi="Arial" w:cs="Arial"/>
          <w:b/>
          <w:bCs/>
          <w:sz w:val="24"/>
          <w:szCs w:val="24"/>
        </w:rPr>
      </w:pPr>
      <w:r w:rsidRPr="002C1DD9">
        <w:rPr>
          <w:rFonts w:ascii="Arial" w:hAnsi="Arial" w:cs="Arial"/>
          <w:b/>
          <w:bCs/>
          <w:sz w:val="24"/>
          <w:szCs w:val="24"/>
        </w:rPr>
        <w:t>When reviewing plans according to the Mental Health Geographic Access Standards and Methodology, why does the DMHC evaluate distances according to “representative population points” instead of current existing enrollee membership?</w:t>
      </w:r>
    </w:p>
    <w:p w14:paraId="595B51AC" w14:textId="1F9F83B6" w:rsidR="00FD2A43" w:rsidRPr="00D419BD" w:rsidRDefault="00FD2A43" w:rsidP="00040E95">
      <w:pPr>
        <w:spacing w:after="600"/>
        <w:ind w:left="720"/>
        <w:rPr>
          <w:rFonts w:ascii="Arial" w:hAnsi="Arial" w:cs="Arial"/>
          <w:sz w:val="24"/>
          <w:szCs w:val="24"/>
        </w:rPr>
      </w:pPr>
      <w:r w:rsidRPr="00D419BD">
        <w:rPr>
          <w:rFonts w:ascii="Arial" w:hAnsi="Arial" w:cs="Arial"/>
          <w:sz w:val="24"/>
          <w:szCs w:val="24"/>
        </w:rPr>
        <w:t xml:space="preserve">The DMHC requires plans to meet geographic access requirements in the populated areas of a </w:t>
      </w:r>
      <w:r w:rsidR="005657DE" w:rsidRPr="00D419BD">
        <w:rPr>
          <w:rFonts w:ascii="Arial" w:hAnsi="Arial" w:cs="Arial"/>
          <w:sz w:val="24"/>
          <w:szCs w:val="24"/>
        </w:rPr>
        <w:t>p</w:t>
      </w:r>
      <w:r w:rsidRPr="00D419BD">
        <w:rPr>
          <w:rFonts w:ascii="Arial" w:hAnsi="Arial" w:cs="Arial"/>
          <w:sz w:val="24"/>
          <w:szCs w:val="24"/>
        </w:rPr>
        <w:t>lan’s approved network service area, including places where actual and potential enrollees live and work</w:t>
      </w:r>
      <w:r w:rsidR="004201B6" w:rsidRPr="00D419BD">
        <w:rPr>
          <w:rFonts w:ascii="Arial" w:hAnsi="Arial" w:cs="Arial"/>
          <w:sz w:val="24"/>
          <w:szCs w:val="24"/>
        </w:rPr>
        <w:t>.</w:t>
      </w:r>
      <w:r w:rsidR="00B52BD8" w:rsidRPr="00D419BD">
        <w:rPr>
          <w:rFonts w:ascii="Arial" w:hAnsi="Arial" w:cs="Arial"/>
          <w:sz w:val="24"/>
          <w:szCs w:val="24"/>
        </w:rPr>
        <w:t xml:space="preserve"> </w:t>
      </w:r>
      <w:r w:rsidRPr="00D419BD">
        <w:rPr>
          <w:rFonts w:ascii="Arial" w:hAnsi="Arial" w:cs="Arial"/>
          <w:sz w:val="24"/>
          <w:szCs w:val="24"/>
        </w:rPr>
        <w:t xml:space="preserve">Since a plan can continue to market and sell products to enrollees who live and work anywhere within the approved network service area, the </w:t>
      </w:r>
      <w:r w:rsidR="00F579CD" w:rsidRPr="00D419BD">
        <w:rPr>
          <w:rFonts w:ascii="Arial" w:hAnsi="Arial" w:cs="Arial"/>
          <w:sz w:val="24"/>
          <w:szCs w:val="24"/>
        </w:rPr>
        <w:t>p</w:t>
      </w:r>
      <w:r w:rsidRPr="00D419BD">
        <w:rPr>
          <w:rFonts w:ascii="Arial" w:hAnsi="Arial" w:cs="Arial"/>
          <w:sz w:val="24"/>
          <w:szCs w:val="24"/>
        </w:rPr>
        <w:t xml:space="preserve">lan must therefore maintain an adequate network within the populated areas of its </w:t>
      </w:r>
      <w:r w:rsidR="00944652" w:rsidRPr="00D419BD">
        <w:rPr>
          <w:rFonts w:ascii="Arial" w:hAnsi="Arial" w:cs="Arial"/>
          <w:sz w:val="24"/>
          <w:szCs w:val="24"/>
        </w:rPr>
        <w:t xml:space="preserve">entire </w:t>
      </w:r>
      <w:r w:rsidRPr="00D419BD">
        <w:rPr>
          <w:rFonts w:ascii="Arial" w:hAnsi="Arial" w:cs="Arial"/>
          <w:sz w:val="24"/>
          <w:szCs w:val="24"/>
        </w:rPr>
        <w:t>network service area.</w:t>
      </w:r>
      <w:r w:rsidR="00A72442" w:rsidRPr="00D419BD">
        <w:rPr>
          <w:rFonts w:ascii="Arial" w:hAnsi="Arial" w:cs="Arial"/>
          <w:sz w:val="24"/>
          <w:szCs w:val="24"/>
        </w:rPr>
        <w:t xml:space="preserve"> </w:t>
      </w:r>
      <w:r w:rsidRPr="00D419BD">
        <w:rPr>
          <w:rFonts w:ascii="Arial" w:hAnsi="Arial" w:cs="Arial"/>
          <w:sz w:val="24"/>
          <w:szCs w:val="24"/>
        </w:rPr>
        <w:t>The population points, as defined</w:t>
      </w:r>
      <w:r w:rsidR="00E00544" w:rsidRPr="00D419BD">
        <w:rPr>
          <w:rFonts w:ascii="Arial" w:hAnsi="Arial" w:cs="Arial"/>
          <w:sz w:val="24"/>
          <w:szCs w:val="24"/>
        </w:rPr>
        <w:t xml:space="preserve"> in Rule 1300.67.2.2(b)(11)</w:t>
      </w:r>
      <w:r w:rsidR="00DA1178" w:rsidRPr="00D419BD">
        <w:rPr>
          <w:rFonts w:ascii="Arial" w:hAnsi="Arial" w:cs="Arial"/>
          <w:sz w:val="24"/>
          <w:szCs w:val="24"/>
        </w:rPr>
        <w:t>,</w:t>
      </w:r>
      <w:r w:rsidR="00EA4646" w:rsidRPr="00D419BD">
        <w:rPr>
          <w:rFonts w:ascii="Arial" w:hAnsi="Arial" w:cs="Arial"/>
          <w:sz w:val="24"/>
          <w:szCs w:val="24"/>
        </w:rPr>
        <w:t xml:space="preserve"> are how the DMHC ensures that actual and potential enrollees </w:t>
      </w:r>
      <w:r w:rsidR="00095D15" w:rsidRPr="00D419BD">
        <w:rPr>
          <w:rFonts w:ascii="Arial" w:hAnsi="Arial" w:cs="Arial"/>
          <w:sz w:val="24"/>
          <w:szCs w:val="24"/>
        </w:rPr>
        <w:t>in a plan’s network service area have ade</w:t>
      </w:r>
      <w:r w:rsidR="000543CD" w:rsidRPr="00D419BD">
        <w:rPr>
          <w:rFonts w:ascii="Arial" w:hAnsi="Arial" w:cs="Arial"/>
          <w:sz w:val="24"/>
          <w:szCs w:val="24"/>
        </w:rPr>
        <w:t xml:space="preserve">quate geographic access to </w:t>
      </w:r>
      <w:r w:rsidR="0080390B" w:rsidRPr="00D419BD">
        <w:rPr>
          <w:rFonts w:ascii="Arial" w:hAnsi="Arial" w:cs="Arial"/>
          <w:sz w:val="24"/>
          <w:szCs w:val="24"/>
        </w:rPr>
        <w:t>a plan’s network providers</w:t>
      </w:r>
      <w:r w:rsidR="00BA397F" w:rsidRPr="00D419BD">
        <w:rPr>
          <w:rFonts w:ascii="Arial" w:hAnsi="Arial" w:cs="Arial"/>
          <w:sz w:val="24"/>
          <w:szCs w:val="24"/>
        </w:rPr>
        <w:t xml:space="preserve">. </w:t>
      </w:r>
      <w:r w:rsidRPr="00D419BD">
        <w:rPr>
          <w:rFonts w:ascii="Arial" w:hAnsi="Arial" w:cs="Arial"/>
          <w:sz w:val="24"/>
          <w:szCs w:val="24"/>
        </w:rPr>
        <w:t>Further information concerning the DMHC’s use of population points to measure geographic access can be found within the Geographic Access Measurement Methodology, incorporated in Rule 1300.67.2.</w:t>
      </w:r>
    </w:p>
    <w:p w14:paraId="51C9B951" w14:textId="66F72A30" w:rsidR="0066610B" w:rsidRPr="002C1DD9" w:rsidRDefault="0066610B" w:rsidP="00351713">
      <w:pPr>
        <w:pStyle w:val="ListParagraph"/>
        <w:numPr>
          <w:ilvl w:val="0"/>
          <w:numId w:val="11"/>
        </w:numPr>
        <w:spacing w:after="240"/>
        <w:contextualSpacing w:val="0"/>
        <w:rPr>
          <w:rFonts w:ascii="Arial" w:hAnsi="Arial" w:cs="Arial"/>
          <w:b/>
          <w:bCs/>
          <w:sz w:val="24"/>
          <w:szCs w:val="24"/>
        </w:rPr>
      </w:pPr>
      <w:r w:rsidRPr="002C1DD9">
        <w:rPr>
          <w:rFonts w:ascii="Arial" w:hAnsi="Arial" w:cs="Arial"/>
          <w:b/>
          <w:bCs/>
          <w:sz w:val="24"/>
          <w:szCs w:val="24"/>
        </w:rPr>
        <w:t xml:space="preserve">When reviewing plans according to the Mental Health Geographic Access Standards and Methodology, </w:t>
      </w:r>
      <w:r w:rsidR="00D32D53" w:rsidRPr="002C1DD9">
        <w:rPr>
          <w:rFonts w:ascii="Arial" w:hAnsi="Arial" w:cs="Arial"/>
          <w:b/>
          <w:bCs/>
          <w:sz w:val="24"/>
          <w:szCs w:val="24"/>
        </w:rPr>
        <w:t>ninety percent (</w:t>
      </w:r>
      <w:r w:rsidRPr="002C1DD9">
        <w:rPr>
          <w:rFonts w:ascii="Arial" w:hAnsi="Arial" w:cs="Arial"/>
          <w:b/>
          <w:bCs/>
          <w:sz w:val="24"/>
          <w:szCs w:val="24"/>
        </w:rPr>
        <w:t>90%</w:t>
      </w:r>
      <w:r w:rsidR="00D32D53" w:rsidRPr="002C1DD9">
        <w:rPr>
          <w:rFonts w:ascii="Arial" w:hAnsi="Arial" w:cs="Arial"/>
          <w:b/>
          <w:bCs/>
          <w:sz w:val="24"/>
          <w:szCs w:val="24"/>
        </w:rPr>
        <w:t>)</w:t>
      </w:r>
      <w:r w:rsidRPr="002C1DD9">
        <w:rPr>
          <w:rFonts w:ascii="Arial" w:hAnsi="Arial" w:cs="Arial"/>
          <w:b/>
          <w:bCs/>
          <w:sz w:val="24"/>
          <w:szCs w:val="24"/>
        </w:rPr>
        <w:t xml:space="preserve"> of the county population in a network must have access to a network provider within the distance standard defined for the county, as measured by population points. Can this </w:t>
      </w:r>
      <w:r w:rsidR="00060EC7" w:rsidRPr="002C1DD9">
        <w:rPr>
          <w:rFonts w:ascii="Arial" w:hAnsi="Arial" w:cs="Arial"/>
          <w:b/>
          <w:bCs/>
          <w:sz w:val="24"/>
          <w:szCs w:val="24"/>
        </w:rPr>
        <w:t xml:space="preserve">threshold </w:t>
      </w:r>
      <w:r w:rsidRPr="002C1DD9">
        <w:rPr>
          <w:rFonts w:ascii="Arial" w:hAnsi="Arial" w:cs="Arial"/>
          <w:b/>
          <w:bCs/>
          <w:sz w:val="24"/>
          <w:szCs w:val="24"/>
        </w:rPr>
        <w:t>percentage be lowered for Rural and CEAC counties</w:t>
      </w:r>
      <w:r w:rsidR="00060EC7" w:rsidRPr="002C1DD9">
        <w:rPr>
          <w:rFonts w:ascii="Arial" w:hAnsi="Arial" w:cs="Arial"/>
          <w:b/>
          <w:bCs/>
          <w:sz w:val="24"/>
          <w:szCs w:val="24"/>
        </w:rPr>
        <w:t xml:space="preserve"> </w:t>
      </w:r>
      <w:r w:rsidRPr="002C1DD9">
        <w:rPr>
          <w:rFonts w:ascii="Arial" w:hAnsi="Arial" w:cs="Arial"/>
          <w:b/>
          <w:bCs/>
          <w:sz w:val="24"/>
          <w:szCs w:val="24"/>
        </w:rPr>
        <w:t>and low-density ZIP Codes in Metro counties?</w:t>
      </w:r>
    </w:p>
    <w:p w14:paraId="1EA4EF46" w14:textId="37B2FB97" w:rsidR="00DA0F78" w:rsidRPr="00D419BD" w:rsidRDefault="00DA0F78" w:rsidP="00351713">
      <w:pPr>
        <w:spacing w:after="240"/>
        <w:ind w:left="720"/>
        <w:rPr>
          <w:rFonts w:ascii="Arial" w:hAnsi="Arial" w:cs="Arial"/>
          <w:sz w:val="24"/>
          <w:szCs w:val="24"/>
        </w:rPr>
      </w:pPr>
      <w:r w:rsidRPr="00D419BD">
        <w:rPr>
          <w:rFonts w:ascii="Arial" w:hAnsi="Arial" w:cs="Arial"/>
          <w:sz w:val="24"/>
          <w:szCs w:val="24"/>
        </w:rPr>
        <w:t>The DMHC accounts for access challenges in the Rural and CEAC counties by establishing a longer distance standard that is representative of the actual locations of providers and the population within those counties. A plan offering reasonable access to care should be able to meet these distances for 90% of the population points within these county types.</w:t>
      </w:r>
    </w:p>
    <w:p w14:paraId="08B74C92" w14:textId="481FBEC8" w:rsidR="00DA0F78" w:rsidRPr="00D419BD" w:rsidRDefault="00DA0F78" w:rsidP="00351713">
      <w:pPr>
        <w:spacing w:after="240"/>
        <w:ind w:left="720"/>
        <w:rPr>
          <w:rFonts w:ascii="Arial" w:hAnsi="Arial" w:cs="Arial"/>
          <w:sz w:val="24"/>
          <w:szCs w:val="24"/>
        </w:rPr>
      </w:pPr>
      <w:r w:rsidRPr="00D419BD">
        <w:rPr>
          <w:rFonts w:ascii="Arial" w:hAnsi="Arial" w:cs="Arial"/>
          <w:sz w:val="24"/>
          <w:szCs w:val="24"/>
        </w:rPr>
        <w:t xml:space="preserve">Similarly, some ZIP Codes within a county may be more rural or sparsely populated in nature when compared to other areas within the county. To </w:t>
      </w:r>
      <w:r w:rsidRPr="00D419BD">
        <w:rPr>
          <w:rFonts w:ascii="Arial" w:hAnsi="Arial" w:cs="Arial"/>
          <w:sz w:val="24"/>
          <w:szCs w:val="24"/>
        </w:rPr>
        <w:lastRenderedPageBreak/>
        <w:t xml:space="preserve">accommodate this diversity, the </w:t>
      </w:r>
      <w:r w:rsidR="001A7783" w:rsidRPr="00D419BD">
        <w:rPr>
          <w:rFonts w:ascii="Arial" w:hAnsi="Arial" w:cs="Arial"/>
          <w:sz w:val="24"/>
          <w:szCs w:val="24"/>
        </w:rPr>
        <w:t>DMHC</w:t>
      </w:r>
      <w:r w:rsidRPr="00D419BD">
        <w:rPr>
          <w:rFonts w:ascii="Arial" w:hAnsi="Arial" w:cs="Arial"/>
          <w:sz w:val="24"/>
          <w:szCs w:val="24"/>
        </w:rPr>
        <w:t xml:space="preserve"> will evaluate designated low-density ZIP Codes against </w:t>
      </w:r>
      <w:r w:rsidR="000025A1" w:rsidRPr="00D419BD">
        <w:rPr>
          <w:rFonts w:ascii="Arial" w:hAnsi="Arial" w:cs="Arial"/>
          <w:sz w:val="24"/>
          <w:szCs w:val="24"/>
        </w:rPr>
        <w:t>an alternative</w:t>
      </w:r>
      <w:r w:rsidRPr="00D419BD">
        <w:rPr>
          <w:rFonts w:ascii="Arial" w:hAnsi="Arial" w:cs="Arial"/>
          <w:sz w:val="24"/>
          <w:szCs w:val="24"/>
        </w:rPr>
        <w:t xml:space="preserve"> distance standard</w:t>
      </w:r>
      <w:r w:rsidR="007C0024" w:rsidRPr="00D419BD">
        <w:rPr>
          <w:rFonts w:ascii="Arial" w:hAnsi="Arial" w:cs="Arial"/>
          <w:sz w:val="24"/>
          <w:szCs w:val="24"/>
        </w:rPr>
        <w:t>,</w:t>
      </w:r>
      <w:r w:rsidR="000025A1" w:rsidRPr="00D419BD">
        <w:rPr>
          <w:rFonts w:ascii="Arial" w:hAnsi="Arial" w:cs="Arial"/>
          <w:sz w:val="24"/>
          <w:szCs w:val="24"/>
        </w:rPr>
        <w:t xml:space="preserve"> when applicable</w:t>
      </w:r>
      <w:r w:rsidRPr="00D419BD">
        <w:rPr>
          <w:rFonts w:ascii="Arial" w:hAnsi="Arial" w:cs="Arial"/>
          <w:sz w:val="24"/>
          <w:szCs w:val="24"/>
        </w:rPr>
        <w:t xml:space="preserve">. </w:t>
      </w:r>
      <w:r w:rsidR="00BD70C0" w:rsidRPr="00D419BD">
        <w:rPr>
          <w:rFonts w:ascii="Arial" w:hAnsi="Arial" w:cs="Arial"/>
          <w:sz w:val="24"/>
          <w:szCs w:val="24"/>
        </w:rPr>
        <w:t xml:space="preserve">The DMHC </w:t>
      </w:r>
      <w:r w:rsidR="003358AA" w:rsidRPr="00D419BD">
        <w:rPr>
          <w:rFonts w:ascii="Arial" w:hAnsi="Arial" w:cs="Arial"/>
          <w:sz w:val="24"/>
          <w:szCs w:val="24"/>
        </w:rPr>
        <w:t xml:space="preserve">believes that this accommodation is sufficient to ensure enrollees in more rural areas of the county </w:t>
      </w:r>
      <w:r w:rsidR="00660E4F" w:rsidRPr="00D419BD">
        <w:rPr>
          <w:rFonts w:ascii="Arial" w:hAnsi="Arial" w:cs="Arial"/>
          <w:sz w:val="24"/>
          <w:szCs w:val="24"/>
        </w:rPr>
        <w:t>have adequate access to care while also being cognizant of the available supply of providers in those areas.</w:t>
      </w:r>
    </w:p>
    <w:p w14:paraId="160336BB" w14:textId="792854AA" w:rsidR="00D104B6" w:rsidRPr="00D419BD" w:rsidRDefault="00D104B6" w:rsidP="00001D46">
      <w:pPr>
        <w:spacing w:after="600"/>
        <w:ind w:left="720"/>
        <w:rPr>
          <w:rFonts w:ascii="Arial" w:hAnsi="Arial" w:cs="Arial"/>
          <w:sz w:val="24"/>
          <w:szCs w:val="24"/>
        </w:rPr>
      </w:pPr>
      <w:r w:rsidRPr="00D419BD">
        <w:rPr>
          <w:rFonts w:ascii="Arial" w:hAnsi="Arial" w:cs="Arial"/>
          <w:sz w:val="24"/>
          <w:szCs w:val="24"/>
        </w:rPr>
        <w:t>Some networks, particularly in CEAC, Rural</w:t>
      </w:r>
      <w:r w:rsidR="009027D9" w:rsidRPr="00D419BD">
        <w:rPr>
          <w:rFonts w:ascii="Arial" w:hAnsi="Arial" w:cs="Arial"/>
          <w:sz w:val="24"/>
          <w:szCs w:val="24"/>
        </w:rPr>
        <w:t>,</w:t>
      </w:r>
      <w:r w:rsidRPr="00D419BD">
        <w:rPr>
          <w:rFonts w:ascii="Arial" w:hAnsi="Arial" w:cs="Arial"/>
          <w:sz w:val="24"/>
          <w:szCs w:val="24"/>
        </w:rPr>
        <w:t xml:space="preserve"> and Micro counties, will need to contract with mental health facilities in neighboring counties in order to meet the distance standard for the network county.</w:t>
      </w:r>
    </w:p>
    <w:p w14:paraId="1A68AA37" w14:textId="6B053031" w:rsidR="002A7F86" w:rsidRPr="002C1DD9" w:rsidRDefault="002A7F86" w:rsidP="00115BF3">
      <w:pPr>
        <w:pStyle w:val="ListParagraph"/>
        <w:numPr>
          <w:ilvl w:val="0"/>
          <w:numId w:val="11"/>
        </w:numPr>
        <w:spacing w:after="240"/>
        <w:contextualSpacing w:val="0"/>
        <w:rPr>
          <w:rFonts w:ascii="Arial" w:hAnsi="Arial" w:cs="Arial"/>
          <w:b/>
          <w:bCs/>
          <w:sz w:val="24"/>
          <w:szCs w:val="24"/>
        </w:rPr>
      </w:pPr>
      <w:r w:rsidRPr="002C1DD9">
        <w:rPr>
          <w:rFonts w:ascii="Arial" w:hAnsi="Arial" w:cs="Arial"/>
          <w:b/>
          <w:bCs/>
          <w:sz w:val="24"/>
          <w:szCs w:val="24"/>
        </w:rPr>
        <w:t>When reviewing plans according to the Mental Health Geographic Access Standards and Methodology</w:t>
      </w:r>
      <w:r w:rsidR="003B0A75" w:rsidRPr="002C1DD9">
        <w:rPr>
          <w:rFonts w:ascii="Arial" w:hAnsi="Arial" w:cs="Arial"/>
          <w:b/>
          <w:bCs/>
          <w:sz w:val="24"/>
          <w:szCs w:val="24"/>
        </w:rPr>
        <w:t>,</w:t>
      </w:r>
      <w:r w:rsidRPr="002C1DD9">
        <w:rPr>
          <w:rFonts w:ascii="Arial" w:hAnsi="Arial" w:cs="Arial"/>
          <w:b/>
          <w:bCs/>
          <w:sz w:val="24"/>
          <w:szCs w:val="24"/>
        </w:rPr>
        <w:t xml:space="preserve"> can counties be grouped with adjacent counties to meet an alternative standard?</w:t>
      </w:r>
    </w:p>
    <w:p w14:paraId="19CDBDD0" w14:textId="5292BBDA" w:rsidR="003B0A75" w:rsidRPr="00D419BD" w:rsidRDefault="003B0A75" w:rsidP="00001D46">
      <w:pPr>
        <w:spacing w:after="600"/>
        <w:ind w:left="720"/>
        <w:rPr>
          <w:rFonts w:ascii="Arial" w:hAnsi="Arial" w:cs="Arial"/>
          <w:sz w:val="24"/>
          <w:szCs w:val="24"/>
        </w:rPr>
      </w:pPr>
      <w:r w:rsidRPr="00D419BD">
        <w:rPr>
          <w:rFonts w:ascii="Arial" w:hAnsi="Arial" w:cs="Arial"/>
          <w:sz w:val="24"/>
          <w:szCs w:val="24"/>
        </w:rPr>
        <w:t xml:space="preserve">The distance standards for mental health facilities and </w:t>
      </w:r>
      <w:r w:rsidR="00B91269" w:rsidRPr="00D419BD">
        <w:rPr>
          <w:rFonts w:ascii="Arial" w:hAnsi="Arial" w:cs="Arial"/>
          <w:sz w:val="24"/>
          <w:szCs w:val="24"/>
        </w:rPr>
        <w:t>counseling non-physician mental health professionals (</w:t>
      </w:r>
      <w:r w:rsidRPr="00D419BD">
        <w:rPr>
          <w:rFonts w:ascii="Arial" w:hAnsi="Arial" w:cs="Arial"/>
          <w:sz w:val="24"/>
          <w:szCs w:val="24"/>
        </w:rPr>
        <w:t>Counseling MHP</w:t>
      </w:r>
      <w:r w:rsidR="00E95B66" w:rsidRPr="00D419BD">
        <w:rPr>
          <w:rFonts w:ascii="Arial" w:hAnsi="Arial" w:cs="Arial"/>
          <w:sz w:val="24"/>
          <w:szCs w:val="24"/>
        </w:rPr>
        <w:t>s</w:t>
      </w:r>
      <w:r w:rsidR="00B91269" w:rsidRPr="00D419BD">
        <w:rPr>
          <w:rFonts w:ascii="Arial" w:hAnsi="Arial" w:cs="Arial"/>
          <w:sz w:val="24"/>
          <w:szCs w:val="24"/>
        </w:rPr>
        <w:t>)</w:t>
      </w:r>
      <w:r w:rsidRPr="00D419BD">
        <w:rPr>
          <w:rFonts w:ascii="Arial" w:hAnsi="Arial" w:cs="Arial"/>
          <w:sz w:val="24"/>
          <w:szCs w:val="24"/>
        </w:rPr>
        <w:t xml:space="preserve"> set forth in the Mental Health Geographic Access Standards and Methodology do not allow for county groupings to meet alternative geographic access standards. Instead, the alternative standards are based on alternative distances for low</w:t>
      </w:r>
      <w:r w:rsidR="00503AE3" w:rsidRPr="00D419BD">
        <w:rPr>
          <w:rFonts w:ascii="Arial" w:hAnsi="Arial" w:cs="Arial"/>
          <w:sz w:val="24"/>
          <w:szCs w:val="24"/>
        </w:rPr>
        <w:t>-</w:t>
      </w:r>
      <w:r w:rsidRPr="00D419BD">
        <w:rPr>
          <w:rFonts w:ascii="Arial" w:hAnsi="Arial" w:cs="Arial"/>
          <w:sz w:val="24"/>
          <w:szCs w:val="24"/>
        </w:rPr>
        <w:t>supply counties (for mental health facilities) and alternative distances for low-density ZIP Codes in Metro and</w:t>
      </w:r>
      <w:r w:rsidR="00503AE3" w:rsidRPr="00D419BD">
        <w:rPr>
          <w:rFonts w:ascii="Arial" w:hAnsi="Arial" w:cs="Arial"/>
          <w:sz w:val="24"/>
          <w:szCs w:val="24"/>
        </w:rPr>
        <w:t>/or</w:t>
      </w:r>
      <w:r w:rsidRPr="00D419BD">
        <w:rPr>
          <w:rFonts w:ascii="Arial" w:hAnsi="Arial" w:cs="Arial"/>
          <w:sz w:val="24"/>
          <w:szCs w:val="24"/>
        </w:rPr>
        <w:t xml:space="preserve"> Large Metro counties</w:t>
      </w:r>
      <w:r w:rsidR="000D4BBF" w:rsidRPr="00D419BD">
        <w:rPr>
          <w:rFonts w:ascii="Arial" w:hAnsi="Arial" w:cs="Arial"/>
          <w:sz w:val="24"/>
          <w:szCs w:val="24"/>
        </w:rPr>
        <w:t>, as applicable.</w:t>
      </w:r>
      <w:r w:rsidRPr="00D419BD">
        <w:rPr>
          <w:rFonts w:ascii="Arial" w:hAnsi="Arial" w:cs="Arial"/>
          <w:sz w:val="24"/>
          <w:szCs w:val="24"/>
        </w:rPr>
        <w:t xml:space="preserve"> These alternative standards are set forth in the </w:t>
      </w:r>
      <w:r w:rsidR="009A3E47" w:rsidRPr="00D419BD">
        <w:rPr>
          <w:rFonts w:ascii="Arial" w:hAnsi="Arial" w:cs="Arial"/>
          <w:sz w:val="24"/>
          <w:szCs w:val="24"/>
        </w:rPr>
        <w:t>s</w:t>
      </w:r>
      <w:r w:rsidR="00EF6091" w:rsidRPr="00D419BD">
        <w:rPr>
          <w:rFonts w:ascii="Arial" w:hAnsi="Arial" w:cs="Arial"/>
          <w:sz w:val="24"/>
          <w:szCs w:val="24"/>
        </w:rPr>
        <w:t>tandards</w:t>
      </w:r>
      <w:r w:rsidR="00AE4805" w:rsidRPr="00D419BD">
        <w:rPr>
          <w:rFonts w:ascii="Arial" w:hAnsi="Arial" w:cs="Arial"/>
          <w:sz w:val="24"/>
          <w:szCs w:val="24"/>
        </w:rPr>
        <w:t xml:space="preserve"> and </w:t>
      </w:r>
      <w:r w:rsidR="009A3E47" w:rsidRPr="00D419BD">
        <w:rPr>
          <w:rFonts w:ascii="Arial" w:hAnsi="Arial" w:cs="Arial"/>
          <w:sz w:val="24"/>
          <w:szCs w:val="24"/>
        </w:rPr>
        <w:t>m</w:t>
      </w:r>
      <w:r w:rsidR="00EF6091" w:rsidRPr="00D419BD">
        <w:rPr>
          <w:rFonts w:ascii="Arial" w:hAnsi="Arial" w:cs="Arial"/>
          <w:sz w:val="24"/>
          <w:szCs w:val="24"/>
        </w:rPr>
        <w:t>ethodology</w:t>
      </w:r>
      <w:r w:rsidRPr="00D419BD">
        <w:rPr>
          <w:rFonts w:ascii="Arial" w:hAnsi="Arial" w:cs="Arial"/>
          <w:sz w:val="24"/>
          <w:szCs w:val="24"/>
        </w:rPr>
        <w:t xml:space="preserve"> document. Please note that when measuring access for a population point within the county, the nearest </w:t>
      </w:r>
      <w:r w:rsidR="004D5088" w:rsidRPr="00D419BD">
        <w:rPr>
          <w:rFonts w:ascii="Arial" w:hAnsi="Arial" w:cs="Arial"/>
          <w:sz w:val="24"/>
          <w:szCs w:val="24"/>
        </w:rPr>
        <w:t xml:space="preserve">network </w:t>
      </w:r>
      <w:r w:rsidRPr="00D419BD">
        <w:rPr>
          <w:rFonts w:ascii="Arial" w:hAnsi="Arial" w:cs="Arial"/>
          <w:sz w:val="24"/>
          <w:szCs w:val="24"/>
        </w:rPr>
        <w:t xml:space="preserve">provider may have a practice location in a neighboring county. In such circumstances, </w:t>
      </w:r>
      <w:r w:rsidR="000067E6" w:rsidRPr="00D419BD">
        <w:rPr>
          <w:rFonts w:ascii="Arial" w:hAnsi="Arial" w:cs="Arial"/>
          <w:sz w:val="24"/>
          <w:szCs w:val="24"/>
        </w:rPr>
        <w:t xml:space="preserve">when measuring </w:t>
      </w:r>
      <w:r w:rsidR="00511243" w:rsidRPr="00D419BD">
        <w:rPr>
          <w:rFonts w:ascii="Arial" w:hAnsi="Arial" w:cs="Arial"/>
          <w:sz w:val="24"/>
          <w:szCs w:val="24"/>
        </w:rPr>
        <w:t>geographic access for a particular county</w:t>
      </w:r>
      <w:r w:rsidRPr="00D419BD">
        <w:rPr>
          <w:rFonts w:ascii="Arial" w:hAnsi="Arial" w:cs="Arial"/>
          <w:sz w:val="24"/>
          <w:szCs w:val="24"/>
        </w:rPr>
        <w:t xml:space="preserve">, the distance </w:t>
      </w:r>
      <w:r w:rsidR="00C70B32" w:rsidRPr="00D419BD">
        <w:rPr>
          <w:rFonts w:ascii="Arial" w:hAnsi="Arial" w:cs="Arial"/>
          <w:sz w:val="24"/>
          <w:szCs w:val="24"/>
        </w:rPr>
        <w:t>between</w:t>
      </w:r>
      <w:r w:rsidR="000067E6" w:rsidRPr="00D419BD">
        <w:rPr>
          <w:rFonts w:ascii="Arial" w:hAnsi="Arial" w:cs="Arial"/>
          <w:sz w:val="24"/>
          <w:szCs w:val="24"/>
        </w:rPr>
        <w:t xml:space="preserve"> </w:t>
      </w:r>
      <w:r w:rsidR="00FC6AAC" w:rsidRPr="00D419BD">
        <w:rPr>
          <w:rFonts w:ascii="Arial" w:hAnsi="Arial" w:cs="Arial"/>
          <w:sz w:val="24"/>
          <w:szCs w:val="24"/>
        </w:rPr>
        <w:t>that</w:t>
      </w:r>
      <w:r w:rsidR="000067E6" w:rsidRPr="00D419BD">
        <w:rPr>
          <w:rFonts w:ascii="Arial" w:hAnsi="Arial" w:cs="Arial"/>
          <w:sz w:val="24"/>
          <w:szCs w:val="24"/>
        </w:rPr>
        <w:t xml:space="preserve"> </w:t>
      </w:r>
      <w:r w:rsidR="00C70B32" w:rsidRPr="00D419BD">
        <w:rPr>
          <w:rFonts w:ascii="Arial" w:hAnsi="Arial" w:cs="Arial"/>
          <w:sz w:val="24"/>
          <w:szCs w:val="24"/>
        </w:rPr>
        <w:t>county’s</w:t>
      </w:r>
      <w:r w:rsidR="000067E6" w:rsidRPr="00D419BD">
        <w:rPr>
          <w:rFonts w:ascii="Arial" w:hAnsi="Arial" w:cs="Arial"/>
          <w:sz w:val="24"/>
          <w:szCs w:val="24"/>
        </w:rPr>
        <w:t xml:space="preserve"> population point </w:t>
      </w:r>
      <w:r w:rsidR="00C70B32" w:rsidRPr="00D419BD">
        <w:rPr>
          <w:rFonts w:ascii="Arial" w:hAnsi="Arial" w:cs="Arial"/>
          <w:sz w:val="24"/>
          <w:szCs w:val="24"/>
        </w:rPr>
        <w:t>and</w:t>
      </w:r>
      <w:r w:rsidR="000067E6" w:rsidRPr="00D419BD">
        <w:rPr>
          <w:rFonts w:ascii="Arial" w:hAnsi="Arial" w:cs="Arial"/>
          <w:sz w:val="24"/>
          <w:szCs w:val="24"/>
        </w:rPr>
        <w:t xml:space="preserve"> the </w:t>
      </w:r>
      <w:r w:rsidR="00C70B32" w:rsidRPr="00D419BD">
        <w:rPr>
          <w:rFonts w:ascii="Arial" w:hAnsi="Arial" w:cs="Arial"/>
          <w:sz w:val="24"/>
          <w:szCs w:val="24"/>
        </w:rPr>
        <w:t>nearest network provider</w:t>
      </w:r>
      <w:r w:rsidRPr="00D419BD">
        <w:rPr>
          <w:rFonts w:ascii="Arial" w:hAnsi="Arial" w:cs="Arial"/>
          <w:sz w:val="24"/>
          <w:szCs w:val="24"/>
        </w:rPr>
        <w:t xml:space="preserve"> </w:t>
      </w:r>
      <w:r w:rsidR="007B611D" w:rsidRPr="00D419BD">
        <w:rPr>
          <w:rFonts w:ascii="Arial" w:hAnsi="Arial" w:cs="Arial"/>
          <w:sz w:val="24"/>
          <w:szCs w:val="24"/>
        </w:rPr>
        <w:t>will</w:t>
      </w:r>
      <w:r w:rsidRPr="00D419BD">
        <w:rPr>
          <w:rFonts w:ascii="Arial" w:hAnsi="Arial" w:cs="Arial"/>
          <w:sz w:val="24"/>
          <w:szCs w:val="24"/>
        </w:rPr>
        <w:t xml:space="preserve"> </w:t>
      </w:r>
      <w:r w:rsidR="00511243" w:rsidRPr="00D419BD">
        <w:rPr>
          <w:rFonts w:ascii="Arial" w:hAnsi="Arial" w:cs="Arial"/>
          <w:sz w:val="24"/>
          <w:szCs w:val="24"/>
        </w:rPr>
        <w:t>be</w:t>
      </w:r>
      <w:r w:rsidR="000807FB" w:rsidRPr="00D419BD">
        <w:rPr>
          <w:rFonts w:ascii="Arial" w:hAnsi="Arial" w:cs="Arial"/>
          <w:sz w:val="24"/>
          <w:szCs w:val="24"/>
        </w:rPr>
        <w:t xml:space="preserve"> </w:t>
      </w:r>
      <w:r w:rsidRPr="00D419BD">
        <w:rPr>
          <w:rFonts w:ascii="Arial" w:hAnsi="Arial" w:cs="Arial"/>
          <w:sz w:val="24"/>
          <w:szCs w:val="24"/>
        </w:rPr>
        <w:t xml:space="preserve">based on </w:t>
      </w:r>
      <w:r w:rsidR="004D5088" w:rsidRPr="00D419BD">
        <w:rPr>
          <w:rFonts w:ascii="Arial" w:hAnsi="Arial" w:cs="Arial"/>
          <w:sz w:val="24"/>
          <w:szCs w:val="24"/>
        </w:rPr>
        <w:t xml:space="preserve">the </w:t>
      </w:r>
      <w:r w:rsidR="00511243" w:rsidRPr="00D419BD">
        <w:rPr>
          <w:rFonts w:ascii="Arial" w:hAnsi="Arial" w:cs="Arial"/>
          <w:sz w:val="24"/>
          <w:szCs w:val="24"/>
        </w:rPr>
        <w:t>distance to the</w:t>
      </w:r>
      <w:r w:rsidR="004D5088" w:rsidRPr="00D419BD">
        <w:rPr>
          <w:rFonts w:ascii="Arial" w:hAnsi="Arial" w:cs="Arial"/>
          <w:sz w:val="24"/>
          <w:szCs w:val="24"/>
        </w:rPr>
        <w:t xml:space="preserve"> </w:t>
      </w:r>
      <w:r w:rsidR="000807FB" w:rsidRPr="00D419BD">
        <w:rPr>
          <w:rFonts w:ascii="Arial" w:hAnsi="Arial" w:cs="Arial"/>
          <w:sz w:val="24"/>
          <w:szCs w:val="24"/>
        </w:rPr>
        <w:t xml:space="preserve">closest </w:t>
      </w:r>
      <w:r w:rsidR="004D5088" w:rsidRPr="00D419BD">
        <w:rPr>
          <w:rFonts w:ascii="Arial" w:hAnsi="Arial" w:cs="Arial"/>
          <w:sz w:val="24"/>
          <w:szCs w:val="24"/>
        </w:rPr>
        <w:t xml:space="preserve">network </w:t>
      </w:r>
      <w:r w:rsidRPr="00D419BD">
        <w:rPr>
          <w:rFonts w:ascii="Arial" w:hAnsi="Arial" w:cs="Arial"/>
          <w:sz w:val="24"/>
          <w:szCs w:val="24"/>
        </w:rPr>
        <w:t xml:space="preserve">provider, regardless of whether that </w:t>
      </w:r>
      <w:r w:rsidR="004D5088" w:rsidRPr="00D419BD">
        <w:rPr>
          <w:rFonts w:ascii="Arial" w:hAnsi="Arial" w:cs="Arial"/>
          <w:sz w:val="24"/>
          <w:szCs w:val="24"/>
        </w:rPr>
        <w:t xml:space="preserve">network </w:t>
      </w:r>
      <w:r w:rsidRPr="00D419BD">
        <w:rPr>
          <w:rFonts w:ascii="Arial" w:hAnsi="Arial" w:cs="Arial"/>
          <w:sz w:val="24"/>
          <w:szCs w:val="24"/>
        </w:rPr>
        <w:t>provider is located inside or outside of the county.</w:t>
      </w:r>
    </w:p>
    <w:p w14:paraId="17B641A5" w14:textId="12B8FD8B" w:rsidR="00A52001" w:rsidRPr="002C1DD9" w:rsidRDefault="002C28CA" w:rsidP="00DA5387">
      <w:pPr>
        <w:pStyle w:val="ListParagraph"/>
        <w:numPr>
          <w:ilvl w:val="0"/>
          <w:numId w:val="11"/>
        </w:numPr>
        <w:spacing w:after="240"/>
        <w:contextualSpacing w:val="0"/>
        <w:rPr>
          <w:rFonts w:ascii="Arial" w:hAnsi="Arial" w:cs="Arial"/>
          <w:b/>
          <w:bCs/>
          <w:sz w:val="24"/>
          <w:szCs w:val="24"/>
        </w:rPr>
      </w:pPr>
      <w:r w:rsidRPr="002C1DD9">
        <w:rPr>
          <w:rFonts w:ascii="Arial" w:hAnsi="Arial" w:cs="Arial"/>
          <w:b/>
          <w:bCs/>
          <w:sz w:val="24"/>
          <w:szCs w:val="24"/>
        </w:rPr>
        <w:t xml:space="preserve">With respect to the distance standards for </w:t>
      </w:r>
      <w:r w:rsidR="00DB23F8" w:rsidRPr="002C1DD9">
        <w:rPr>
          <w:rFonts w:ascii="Arial" w:hAnsi="Arial" w:cs="Arial"/>
          <w:b/>
          <w:bCs/>
          <w:sz w:val="24"/>
          <w:szCs w:val="24"/>
        </w:rPr>
        <w:t xml:space="preserve">Counseling </w:t>
      </w:r>
      <w:r w:rsidRPr="002C1DD9">
        <w:rPr>
          <w:rFonts w:ascii="Arial" w:hAnsi="Arial" w:cs="Arial"/>
          <w:b/>
          <w:bCs/>
          <w:sz w:val="24"/>
          <w:szCs w:val="24"/>
        </w:rPr>
        <w:t>MHPs and mental health facilities, can the DMHC increase the driving distance</w:t>
      </w:r>
      <w:r w:rsidR="00A53C6D" w:rsidRPr="002C1DD9">
        <w:rPr>
          <w:rFonts w:ascii="Arial" w:hAnsi="Arial" w:cs="Arial"/>
          <w:b/>
          <w:bCs/>
          <w:sz w:val="24"/>
          <w:szCs w:val="24"/>
        </w:rPr>
        <w:t>s</w:t>
      </w:r>
      <w:r w:rsidRPr="002C1DD9">
        <w:rPr>
          <w:rFonts w:ascii="Arial" w:hAnsi="Arial" w:cs="Arial"/>
          <w:b/>
          <w:bCs/>
          <w:sz w:val="24"/>
          <w:szCs w:val="24"/>
        </w:rPr>
        <w:t xml:space="preserve"> </w:t>
      </w:r>
      <w:r w:rsidR="006050D8" w:rsidRPr="002C1DD9">
        <w:rPr>
          <w:rFonts w:ascii="Arial" w:hAnsi="Arial" w:cs="Arial"/>
          <w:b/>
          <w:bCs/>
          <w:sz w:val="24"/>
          <w:szCs w:val="24"/>
        </w:rPr>
        <w:t xml:space="preserve">in recognition </w:t>
      </w:r>
      <w:r w:rsidRPr="002C1DD9">
        <w:rPr>
          <w:rFonts w:ascii="Arial" w:hAnsi="Arial" w:cs="Arial"/>
          <w:b/>
          <w:bCs/>
          <w:sz w:val="24"/>
          <w:szCs w:val="24"/>
        </w:rPr>
        <w:t>of the distinct characteristics of the various county type designations, in Large Metro, Metro, Micro</w:t>
      </w:r>
      <w:r w:rsidR="00F021FA" w:rsidRPr="002C1DD9">
        <w:rPr>
          <w:rFonts w:ascii="Arial" w:hAnsi="Arial" w:cs="Arial"/>
          <w:b/>
          <w:bCs/>
          <w:sz w:val="24"/>
          <w:szCs w:val="24"/>
        </w:rPr>
        <w:t>,</w:t>
      </w:r>
      <w:r w:rsidRPr="002C1DD9">
        <w:rPr>
          <w:rFonts w:ascii="Arial" w:hAnsi="Arial" w:cs="Arial"/>
          <w:b/>
          <w:bCs/>
          <w:sz w:val="24"/>
          <w:szCs w:val="24"/>
        </w:rPr>
        <w:t xml:space="preserve"> Rural</w:t>
      </w:r>
      <w:r w:rsidR="00B13A4D" w:rsidRPr="002C1DD9">
        <w:rPr>
          <w:rFonts w:ascii="Arial" w:hAnsi="Arial" w:cs="Arial"/>
          <w:b/>
          <w:bCs/>
          <w:sz w:val="24"/>
          <w:szCs w:val="24"/>
        </w:rPr>
        <w:t>,</w:t>
      </w:r>
      <w:r w:rsidRPr="002C1DD9">
        <w:rPr>
          <w:rFonts w:ascii="Arial" w:hAnsi="Arial" w:cs="Arial"/>
          <w:b/>
          <w:bCs/>
          <w:sz w:val="24"/>
          <w:szCs w:val="24"/>
        </w:rPr>
        <w:t xml:space="preserve"> and CEAC county types? As currently listed, there is no distinction between Micro and Rural counties.</w:t>
      </w:r>
    </w:p>
    <w:p w14:paraId="39B856D2" w14:textId="5DA76B08" w:rsidR="0037244C" w:rsidRPr="00D419BD" w:rsidRDefault="0037244C" w:rsidP="00001D46">
      <w:pPr>
        <w:spacing w:after="600"/>
        <w:ind w:left="720"/>
        <w:rPr>
          <w:rFonts w:ascii="Arial" w:hAnsi="Arial" w:cs="Arial"/>
          <w:sz w:val="24"/>
          <w:szCs w:val="24"/>
        </w:rPr>
      </w:pPr>
      <w:r w:rsidRPr="00D419BD">
        <w:rPr>
          <w:rFonts w:ascii="Arial" w:hAnsi="Arial" w:cs="Arial"/>
          <w:sz w:val="24"/>
          <w:szCs w:val="24"/>
        </w:rPr>
        <w:t>The driving distances established for Counseling MHPs and mental health facilities are based on actual availability of providers and</w:t>
      </w:r>
      <w:r w:rsidR="00CE30D3" w:rsidRPr="00D419BD">
        <w:rPr>
          <w:rFonts w:ascii="Arial" w:hAnsi="Arial" w:cs="Arial"/>
          <w:sz w:val="24"/>
          <w:szCs w:val="24"/>
        </w:rPr>
        <w:t xml:space="preserve"> the total</w:t>
      </w:r>
      <w:r w:rsidRPr="00D419BD">
        <w:rPr>
          <w:rFonts w:ascii="Arial" w:hAnsi="Arial" w:cs="Arial"/>
          <w:sz w:val="24"/>
          <w:szCs w:val="24"/>
        </w:rPr>
        <w:t xml:space="preserve"> </w:t>
      </w:r>
      <w:r w:rsidR="00C85933" w:rsidRPr="00D419BD">
        <w:rPr>
          <w:rFonts w:ascii="Arial" w:hAnsi="Arial" w:cs="Arial"/>
          <w:sz w:val="24"/>
          <w:szCs w:val="24"/>
        </w:rPr>
        <w:t>population</w:t>
      </w:r>
      <w:r w:rsidRPr="00D419BD">
        <w:rPr>
          <w:rFonts w:ascii="Arial" w:hAnsi="Arial" w:cs="Arial"/>
          <w:sz w:val="24"/>
          <w:szCs w:val="24"/>
        </w:rPr>
        <w:t xml:space="preserve"> within each of the county types. To the extent there is no difference in </w:t>
      </w:r>
      <w:r w:rsidR="0005500A" w:rsidRPr="00D419BD">
        <w:rPr>
          <w:rFonts w:ascii="Arial" w:hAnsi="Arial" w:cs="Arial"/>
          <w:sz w:val="24"/>
          <w:szCs w:val="24"/>
        </w:rPr>
        <w:t xml:space="preserve">the </w:t>
      </w:r>
      <w:r w:rsidR="0005500A" w:rsidRPr="00D419BD">
        <w:rPr>
          <w:rFonts w:ascii="Arial" w:hAnsi="Arial" w:cs="Arial"/>
          <w:sz w:val="24"/>
          <w:szCs w:val="24"/>
        </w:rPr>
        <w:lastRenderedPageBreak/>
        <w:t>distance standard</w:t>
      </w:r>
      <w:r w:rsidRPr="00D419BD">
        <w:rPr>
          <w:rFonts w:ascii="Arial" w:hAnsi="Arial" w:cs="Arial"/>
          <w:sz w:val="24"/>
          <w:szCs w:val="24"/>
        </w:rPr>
        <w:t xml:space="preserve"> between certain county types, th</w:t>
      </w:r>
      <w:r w:rsidR="0005500A" w:rsidRPr="00D419BD">
        <w:rPr>
          <w:rFonts w:ascii="Arial" w:hAnsi="Arial" w:cs="Arial"/>
          <w:sz w:val="24"/>
          <w:szCs w:val="24"/>
        </w:rPr>
        <w:t xml:space="preserve">is </w:t>
      </w:r>
      <w:r w:rsidRPr="00D419BD">
        <w:rPr>
          <w:rFonts w:ascii="Arial" w:hAnsi="Arial" w:cs="Arial"/>
          <w:sz w:val="24"/>
          <w:szCs w:val="24"/>
        </w:rPr>
        <w:t>reflects the fact that the number and distribution of providers is not so significant as to impact the overall driving distance for enrollment in each of those county types. In some cases, while the driving distance standard may be the same</w:t>
      </w:r>
      <w:r w:rsidR="006658E0" w:rsidRPr="00D419BD">
        <w:rPr>
          <w:rFonts w:ascii="Arial" w:hAnsi="Arial" w:cs="Arial"/>
          <w:sz w:val="24"/>
          <w:szCs w:val="24"/>
        </w:rPr>
        <w:t xml:space="preserve"> </w:t>
      </w:r>
      <w:r w:rsidR="000A7A96" w:rsidRPr="00D419BD">
        <w:rPr>
          <w:rFonts w:ascii="Arial" w:hAnsi="Arial" w:cs="Arial"/>
          <w:sz w:val="24"/>
          <w:szCs w:val="24"/>
        </w:rPr>
        <w:t xml:space="preserve">across </w:t>
      </w:r>
      <w:r w:rsidR="006658E0" w:rsidRPr="00D419BD">
        <w:rPr>
          <w:rFonts w:ascii="Arial" w:hAnsi="Arial" w:cs="Arial"/>
          <w:sz w:val="24"/>
          <w:szCs w:val="24"/>
        </w:rPr>
        <w:t>county types</w:t>
      </w:r>
      <w:r w:rsidRPr="00D419BD">
        <w:rPr>
          <w:rFonts w:ascii="Arial" w:hAnsi="Arial" w:cs="Arial"/>
          <w:sz w:val="24"/>
          <w:szCs w:val="24"/>
        </w:rPr>
        <w:t xml:space="preserve">, </w:t>
      </w:r>
      <w:r w:rsidR="006658E0" w:rsidRPr="00D419BD">
        <w:rPr>
          <w:rFonts w:ascii="Arial" w:hAnsi="Arial" w:cs="Arial"/>
          <w:sz w:val="24"/>
          <w:szCs w:val="24"/>
        </w:rPr>
        <w:t>there may be an</w:t>
      </w:r>
      <w:r w:rsidR="00C41C84" w:rsidRPr="00D419BD">
        <w:rPr>
          <w:rFonts w:ascii="Arial" w:hAnsi="Arial" w:cs="Arial"/>
          <w:sz w:val="24"/>
          <w:szCs w:val="24"/>
        </w:rPr>
        <w:t xml:space="preserve"> alternative standard that is applicable to </w:t>
      </w:r>
      <w:r w:rsidRPr="00D419BD">
        <w:rPr>
          <w:rFonts w:ascii="Arial" w:hAnsi="Arial" w:cs="Arial"/>
          <w:sz w:val="24"/>
          <w:szCs w:val="24"/>
        </w:rPr>
        <w:t xml:space="preserve">one </w:t>
      </w:r>
      <w:r w:rsidR="007D2583" w:rsidRPr="00D419BD">
        <w:rPr>
          <w:rFonts w:ascii="Arial" w:hAnsi="Arial" w:cs="Arial"/>
          <w:sz w:val="24"/>
          <w:szCs w:val="24"/>
        </w:rPr>
        <w:t xml:space="preserve">specific </w:t>
      </w:r>
      <w:r w:rsidRPr="00D419BD">
        <w:rPr>
          <w:rFonts w:ascii="Arial" w:hAnsi="Arial" w:cs="Arial"/>
          <w:sz w:val="24"/>
          <w:szCs w:val="24"/>
        </w:rPr>
        <w:t>county type to account for the unique</w:t>
      </w:r>
      <w:r w:rsidR="00265AFE" w:rsidRPr="00D419BD">
        <w:rPr>
          <w:rFonts w:ascii="Arial" w:hAnsi="Arial" w:cs="Arial"/>
          <w:sz w:val="24"/>
          <w:szCs w:val="24"/>
        </w:rPr>
        <w:t xml:space="preserve"> factors impacting </w:t>
      </w:r>
      <w:r w:rsidR="00C844B6" w:rsidRPr="00D419BD">
        <w:rPr>
          <w:rFonts w:ascii="Arial" w:hAnsi="Arial" w:cs="Arial"/>
          <w:sz w:val="24"/>
          <w:szCs w:val="24"/>
        </w:rPr>
        <w:t xml:space="preserve">provider </w:t>
      </w:r>
      <w:r w:rsidR="00265AFE" w:rsidRPr="00D419BD">
        <w:rPr>
          <w:rFonts w:ascii="Arial" w:hAnsi="Arial" w:cs="Arial"/>
          <w:sz w:val="24"/>
          <w:szCs w:val="24"/>
        </w:rPr>
        <w:t>availability and population</w:t>
      </w:r>
      <w:r w:rsidRPr="00D419BD">
        <w:rPr>
          <w:rFonts w:ascii="Arial" w:hAnsi="Arial" w:cs="Arial"/>
          <w:sz w:val="24"/>
          <w:szCs w:val="24"/>
        </w:rPr>
        <w:t xml:space="preserve">. </w:t>
      </w:r>
      <w:r w:rsidR="00564755" w:rsidRPr="00D419BD">
        <w:rPr>
          <w:rFonts w:ascii="Arial" w:hAnsi="Arial" w:cs="Arial"/>
          <w:sz w:val="24"/>
          <w:szCs w:val="24"/>
        </w:rPr>
        <w:t>For example</w:t>
      </w:r>
      <w:r w:rsidR="007D2583" w:rsidRPr="00D419BD">
        <w:rPr>
          <w:rFonts w:ascii="Arial" w:hAnsi="Arial" w:cs="Arial"/>
          <w:sz w:val="24"/>
          <w:szCs w:val="24"/>
        </w:rPr>
        <w:t xml:space="preserve">, while Micro and Rural </w:t>
      </w:r>
      <w:r w:rsidR="00B5712F" w:rsidRPr="00D419BD">
        <w:rPr>
          <w:rFonts w:ascii="Arial" w:hAnsi="Arial" w:cs="Arial"/>
          <w:sz w:val="24"/>
          <w:szCs w:val="24"/>
        </w:rPr>
        <w:t>c</w:t>
      </w:r>
      <w:r w:rsidR="007D2583" w:rsidRPr="00D419BD">
        <w:rPr>
          <w:rFonts w:ascii="Arial" w:hAnsi="Arial" w:cs="Arial"/>
          <w:sz w:val="24"/>
          <w:szCs w:val="24"/>
        </w:rPr>
        <w:t xml:space="preserve">ounties may have the same distance standard, Rural counties have </w:t>
      </w:r>
      <w:r w:rsidR="001B4A95" w:rsidRPr="00D419BD">
        <w:rPr>
          <w:rFonts w:ascii="Arial" w:hAnsi="Arial" w:cs="Arial"/>
          <w:sz w:val="24"/>
          <w:szCs w:val="24"/>
        </w:rPr>
        <w:t>a</w:t>
      </w:r>
      <w:r w:rsidR="00F82182" w:rsidRPr="00D419BD">
        <w:rPr>
          <w:rFonts w:ascii="Arial" w:hAnsi="Arial" w:cs="Arial"/>
          <w:sz w:val="24"/>
          <w:szCs w:val="24"/>
        </w:rPr>
        <w:t>n</w:t>
      </w:r>
      <w:r w:rsidR="001B4A95" w:rsidRPr="00D419BD">
        <w:rPr>
          <w:rFonts w:ascii="Arial" w:hAnsi="Arial" w:cs="Arial"/>
          <w:sz w:val="24"/>
          <w:szCs w:val="24"/>
        </w:rPr>
        <w:t xml:space="preserve"> alternative standard </w:t>
      </w:r>
      <w:r w:rsidR="001F08C9" w:rsidRPr="00D419BD">
        <w:rPr>
          <w:rFonts w:ascii="Arial" w:hAnsi="Arial" w:cs="Arial"/>
          <w:sz w:val="24"/>
          <w:szCs w:val="24"/>
        </w:rPr>
        <w:t xml:space="preserve">that </w:t>
      </w:r>
      <w:r w:rsidR="00345D0E" w:rsidRPr="00D419BD">
        <w:rPr>
          <w:rFonts w:ascii="Arial" w:hAnsi="Arial" w:cs="Arial"/>
          <w:sz w:val="24"/>
          <w:szCs w:val="24"/>
        </w:rPr>
        <w:t xml:space="preserve">does not apply to Micro </w:t>
      </w:r>
      <w:r w:rsidR="00B5712F" w:rsidRPr="00D419BD">
        <w:rPr>
          <w:rFonts w:ascii="Arial" w:hAnsi="Arial" w:cs="Arial"/>
          <w:sz w:val="24"/>
          <w:szCs w:val="24"/>
        </w:rPr>
        <w:t>counties.</w:t>
      </w:r>
    </w:p>
    <w:p w14:paraId="240E2EA4" w14:textId="7C714F98" w:rsidR="00352229" w:rsidRPr="002C1DD9" w:rsidRDefault="00352229" w:rsidP="006F5512">
      <w:pPr>
        <w:pStyle w:val="ListParagraph"/>
        <w:numPr>
          <w:ilvl w:val="0"/>
          <w:numId w:val="11"/>
        </w:numPr>
        <w:spacing w:after="240"/>
        <w:contextualSpacing w:val="0"/>
        <w:rPr>
          <w:rFonts w:ascii="Arial" w:hAnsi="Arial" w:cs="Arial"/>
          <w:b/>
          <w:bCs/>
          <w:sz w:val="24"/>
          <w:szCs w:val="24"/>
        </w:rPr>
      </w:pPr>
      <w:r w:rsidRPr="002C1DD9">
        <w:rPr>
          <w:rFonts w:ascii="Arial" w:hAnsi="Arial" w:cs="Arial"/>
          <w:b/>
          <w:bCs/>
          <w:sz w:val="24"/>
          <w:szCs w:val="24"/>
        </w:rPr>
        <w:t xml:space="preserve">With respect to the distance standards for </w:t>
      </w:r>
      <w:r w:rsidR="000D1B98" w:rsidRPr="002C1DD9">
        <w:rPr>
          <w:rFonts w:ascii="Arial" w:hAnsi="Arial" w:cs="Arial"/>
          <w:b/>
          <w:bCs/>
          <w:sz w:val="24"/>
          <w:szCs w:val="24"/>
        </w:rPr>
        <w:t xml:space="preserve">Counseling </w:t>
      </w:r>
      <w:r w:rsidRPr="002C1DD9">
        <w:rPr>
          <w:rFonts w:ascii="Arial" w:hAnsi="Arial" w:cs="Arial"/>
          <w:b/>
          <w:bCs/>
          <w:sz w:val="24"/>
          <w:szCs w:val="24"/>
        </w:rPr>
        <w:t>MHP</w:t>
      </w:r>
      <w:r w:rsidR="00590821" w:rsidRPr="002C1DD9">
        <w:rPr>
          <w:rFonts w:ascii="Arial" w:hAnsi="Arial" w:cs="Arial"/>
          <w:b/>
          <w:bCs/>
          <w:sz w:val="24"/>
          <w:szCs w:val="24"/>
        </w:rPr>
        <w:t>s</w:t>
      </w:r>
      <w:r w:rsidRPr="002C1DD9">
        <w:rPr>
          <w:rFonts w:ascii="Arial" w:hAnsi="Arial" w:cs="Arial"/>
          <w:b/>
          <w:bCs/>
          <w:sz w:val="24"/>
          <w:szCs w:val="24"/>
        </w:rPr>
        <w:t>, why are alternative distance standards for low</w:t>
      </w:r>
      <w:r w:rsidR="007D3074" w:rsidRPr="002C1DD9">
        <w:rPr>
          <w:rFonts w:ascii="Arial" w:hAnsi="Arial" w:cs="Arial"/>
          <w:b/>
          <w:bCs/>
          <w:sz w:val="24"/>
          <w:szCs w:val="24"/>
        </w:rPr>
        <w:t>-</w:t>
      </w:r>
      <w:r w:rsidRPr="002C1DD9">
        <w:rPr>
          <w:rFonts w:ascii="Arial" w:hAnsi="Arial" w:cs="Arial"/>
          <w:b/>
          <w:bCs/>
          <w:sz w:val="24"/>
          <w:szCs w:val="24"/>
        </w:rPr>
        <w:t>density ZIP Codes only available for Metro county types, and not all county types?</w:t>
      </w:r>
    </w:p>
    <w:p w14:paraId="407DD14E" w14:textId="6B80B911" w:rsidR="003B6256" w:rsidRPr="00D419BD" w:rsidRDefault="00DA244B" w:rsidP="00001D46">
      <w:pPr>
        <w:spacing w:after="600"/>
        <w:ind w:left="720"/>
        <w:rPr>
          <w:rFonts w:ascii="Arial" w:hAnsi="Arial" w:cs="Arial"/>
          <w:sz w:val="24"/>
          <w:szCs w:val="24"/>
        </w:rPr>
      </w:pPr>
      <w:r w:rsidRPr="00D419BD">
        <w:rPr>
          <w:rFonts w:ascii="Arial" w:hAnsi="Arial" w:cs="Arial"/>
          <w:sz w:val="24"/>
          <w:szCs w:val="24"/>
        </w:rPr>
        <w:t>The D</w:t>
      </w:r>
      <w:r w:rsidR="00D7064C" w:rsidRPr="00D419BD">
        <w:rPr>
          <w:rFonts w:ascii="Arial" w:hAnsi="Arial" w:cs="Arial"/>
          <w:sz w:val="24"/>
          <w:szCs w:val="24"/>
        </w:rPr>
        <w:t>MHC</w:t>
      </w:r>
      <w:r w:rsidRPr="00D419BD">
        <w:rPr>
          <w:rFonts w:ascii="Arial" w:hAnsi="Arial" w:cs="Arial"/>
          <w:sz w:val="24"/>
          <w:szCs w:val="24"/>
        </w:rPr>
        <w:t xml:space="preserve"> has established an alternative distance standard for Counseling MHPs for Metro counties because these county types have more significant differences in population </w:t>
      </w:r>
      <w:r w:rsidR="00DE1C72" w:rsidRPr="00D419BD">
        <w:rPr>
          <w:rFonts w:ascii="Arial" w:hAnsi="Arial" w:cs="Arial"/>
          <w:sz w:val="24"/>
          <w:szCs w:val="24"/>
        </w:rPr>
        <w:t xml:space="preserve">and provider supply </w:t>
      </w:r>
      <w:r w:rsidRPr="00D419BD">
        <w:rPr>
          <w:rFonts w:ascii="Arial" w:hAnsi="Arial" w:cs="Arial"/>
          <w:sz w:val="24"/>
          <w:szCs w:val="24"/>
        </w:rPr>
        <w:t xml:space="preserve">distribution throughout the county than other county types. </w:t>
      </w:r>
      <w:r w:rsidR="00532FC8" w:rsidRPr="00D419BD">
        <w:rPr>
          <w:rFonts w:ascii="Arial" w:hAnsi="Arial" w:cs="Arial"/>
          <w:sz w:val="24"/>
          <w:szCs w:val="24"/>
        </w:rPr>
        <w:t xml:space="preserve">Put another way, </w:t>
      </w:r>
      <w:r w:rsidR="00510A93" w:rsidRPr="00D419BD">
        <w:rPr>
          <w:rFonts w:ascii="Arial" w:hAnsi="Arial" w:cs="Arial"/>
          <w:sz w:val="24"/>
          <w:szCs w:val="24"/>
        </w:rPr>
        <w:t xml:space="preserve">Metro </w:t>
      </w:r>
      <w:r w:rsidRPr="00D419BD">
        <w:rPr>
          <w:rFonts w:ascii="Arial" w:hAnsi="Arial" w:cs="Arial"/>
          <w:sz w:val="24"/>
          <w:szCs w:val="24"/>
        </w:rPr>
        <w:t>counties have</w:t>
      </w:r>
      <w:r w:rsidR="00EF2594" w:rsidRPr="00D419BD">
        <w:rPr>
          <w:rFonts w:ascii="Arial" w:hAnsi="Arial" w:cs="Arial"/>
          <w:sz w:val="24"/>
          <w:szCs w:val="24"/>
        </w:rPr>
        <w:t xml:space="preserve"> both</w:t>
      </w:r>
      <w:r w:rsidRPr="00D419BD">
        <w:rPr>
          <w:rFonts w:ascii="Arial" w:hAnsi="Arial" w:cs="Arial"/>
          <w:sz w:val="24"/>
          <w:szCs w:val="24"/>
        </w:rPr>
        <w:t xml:space="preserve"> very densely populated areas and very sparsely populated areas within the county borders</w:t>
      </w:r>
      <w:r w:rsidR="009C05A7" w:rsidRPr="00D419BD">
        <w:rPr>
          <w:rFonts w:ascii="Arial" w:hAnsi="Arial" w:cs="Arial"/>
          <w:sz w:val="24"/>
          <w:szCs w:val="24"/>
        </w:rPr>
        <w:t xml:space="preserve">—more so </w:t>
      </w:r>
      <w:r w:rsidR="00C63B38" w:rsidRPr="00D419BD">
        <w:rPr>
          <w:rFonts w:ascii="Arial" w:hAnsi="Arial" w:cs="Arial"/>
          <w:sz w:val="24"/>
          <w:szCs w:val="24"/>
        </w:rPr>
        <w:t>than any other county type</w:t>
      </w:r>
      <w:r w:rsidRPr="00D419BD">
        <w:rPr>
          <w:rFonts w:ascii="Arial" w:hAnsi="Arial" w:cs="Arial"/>
          <w:sz w:val="24"/>
          <w:szCs w:val="24"/>
        </w:rPr>
        <w:t xml:space="preserve">. </w:t>
      </w:r>
      <w:r w:rsidR="00156A03" w:rsidRPr="00D419BD">
        <w:rPr>
          <w:rFonts w:ascii="Arial" w:hAnsi="Arial" w:cs="Arial"/>
          <w:sz w:val="24"/>
          <w:szCs w:val="24"/>
        </w:rPr>
        <w:t>The provider</w:t>
      </w:r>
      <w:r w:rsidR="00703FEA" w:rsidRPr="00D419BD">
        <w:rPr>
          <w:rFonts w:ascii="Arial" w:hAnsi="Arial" w:cs="Arial"/>
          <w:sz w:val="24"/>
          <w:szCs w:val="24"/>
        </w:rPr>
        <w:t xml:space="preserve">s are similarly grouped in the more densely populated areas, resulting in longer distances </w:t>
      </w:r>
      <w:r w:rsidR="00FF2840" w:rsidRPr="00D419BD">
        <w:rPr>
          <w:rFonts w:ascii="Arial" w:hAnsi="Arial" w:cs="Arial"/>
          <w:sz w:val="24"/>
          <w:szCs w:val="24"/>
        </w:rPr>
        <w:t xml:space="preserve">to access </w:t>
      </w:r>
      <w:r w:rsidR="001D0AC5" w:rsidRPr="00D419BD">
        <w:rPr>
          <w:rFonts w:ascii="Arial" w:hAnsi="Arial" w:cs="Arial"/>
          <w:sz w:val="24"/>
          <w:szCs w:val="24"/>
        </w:rPr>
        <w:t xml:space="preserve">Counseling MHPs for </w:t>
      </w:r>
      <w:r w:rsidR="008E399B" w:rsidRPr="00D419BD">
        <w:rPr>
          <w:rFonts w:ascii="Arial" w:hAnsi="Arial" w:cs="Arial"/>
          <w:sz w:val="24"/>
          <w:szCs w:val="24"/>
        </w:rPr>
        <w:t>indiv</w:t>
      </w:r>
      <w:r w:rsidR="008473EA" w:rsidRPr="00D419BD">
        <w:rPr>
          <w:rFonts w:ascii="Arial" w:hAnsi="Arial" w:cs="Arial"/>
          <w:sz w:val="24"/>
          <w:szCs w:val="24"/>
        </w:rPr>
        <w:t>i</w:t>
      </w:r>
      <w:r w:rsidR="008E399B" w:rsidRPr="00D419BD">
        <w:rPr>
          <w:rFonts w:ascii="Arial" w:hAnsi="Arial" w:cs="Arial"/>
          <w:sz w:val="24"/>
          <w:szCs w:val="24"/>
        </w:rPr>
        <w:t xml:space="preserve">duals residing in more </w:t>
      </w:r>
      <w:r w:rsidR="008473EA" w:rsidRPr="00D419BD">
        <w:rPr>
          <w:rFonts w:ascii="Arial" w:hAnsi="Arial" w:cs="Arial"/>
          <w:sz w:val="24"/>
          <w:szCs w:val="24"/>
        </w:rPr>
        <w:t xml:space="preserve">sparsely populated areas. </w:t>
      </w:r>
      <w:r w:rsidR="00FB183A" w:rsidRPr="00D419BD">
        <w:rPr>
          <w:rFonts w:ascii="Arial" w:hAnsi="Arial" w:cs="Arial"/>
          <w:sz w:val="24"/>
          <w:szCs w:val="24"/>
        </w:rPr>
        <w:t>T</w:t>
      </w:r>
      <w:r w:rsidRPr="00D419BD">
        <w:rPr>
          <w:rFonts w:ascii="Arial" w:hAnsi="Arial" w:cs="Arial"/>
          <w:sz w:val="24"/>
          <w:szCs w:val="24"/>
        </w:rPr>
        <w:t>hese</w:t>
      </w:r>
      <w:r w:rsidR="00160DBA" w:rsidRPr="00D419BD">
        <w:rPr>
          <w:rFonts w:ascii="Arial" w:hAnsi="Arial" w:cs="Arial"/>
          <w:sz w:val="24"/>
          <w:szCs w:val="24"/>
        </w:rPr>
        <w:t xml:space="preserve"> extreme</w:t>
      </w:r>
      <w:r w:rsidRPr="00D419BD">
        <w:rPr>
          <w:rFonts w:ascii="Arial" w:hAnsi="Arial" w:cs="Arial"/>
          <w:sz w:val="24"/>
          <w:szCs w:val="24"/>
        </w:rPr>
        <w:t xml:space="preserve"> differences in geographic population distribution </w:t>
      </w:r>
      <w:r w:rsidR="00484C99" w:rsidRPr="00D419BD">
        <w:rPr>
          <w:rFonts w:ascii="Arial" w:hAnsi="Arial" w:cs="Arial"/>
          <w:sz w:val="24"/>
          <w:szCs w:val="24"/>
        </w:rPr>
        <w:t xml:space="preserve">therefore </w:t>
      </w:r>
      <w:r w:rsidR="003653C8" w:rsidRPr="00D419BD">
        <w:rPr>
          <w:rFonts w:ascii="Arial" w:hAnsi="Arial" w:cs="Arial"/>
          <w:sz w:val="24"/>
          <w:szCs w:val="24"/>
        </w:rPr>
        <w:t>necessitated</w:t>
      </w:r>
      <w:r w:rsidR="00484C99" w:rsidRPr="00D419BD">
        <w:rPr>
          <w:rFonts w:ascii="Arial" w:hAnsi="Arial" w:cs="Arial"/>
          <w:sz w:val="24"/>
          <w:szCs w:val="24"/>
        </w:rPr>
        <w:t xml:space="preserve"> an </w:t>
      </w:r>
      <w:r w:rsidR="00160DBA" w:rsidRPr="00D419BD">
        <w:rPr>
          <w:rFonts w:ascii="Arial" w:hAnsi="Arial" w:cs="Arial"/>
          <w:sz w:val="24"/>
          <w:szCs w:val="24"/>
        </w:rPr>
        <w:t xml:space="preserve">alternative distance standard </w:t>
      </w:r>
      <w:r w:rsidR="003653C8" w:rsidRPr="00D419BD">
        <w:rPr>
          <w:rFonts w:ascii="Arial" w:hAnsi="Arial" w:cs="Arial"/>
          <w:sz w:val="24"/>
          <w:szCs w:val="24"/>
        </w:rPr>
        <w:t>for Counseling MHPs.</w:t>
      </w:r>
    </w:p>
    <w:p w14:paraId="594E5C9B" w14:textId="1293976A" w:rsidR="003B6256" w:rsidRPr="002C1DD9" w:rsidRDefault="00E650FD" w:rsidP="006F5512">
      <w:pPr>
        <w:pStyle w:val="ListParagraph"/>
        <w:numPr>
          <w:ilvl w:val="0"/>
          <w:numId w:val="11"/>
        </w:numPr>
        <w:spacing w:after="240"/>
        <w:contextualSpacing w:val="0"/>
        <w:rPr>
          <w:rFonts w:ascii="Arial" w:hAnsi="Arial" w:cs="Arial"/>
          <w:b/>
          <w:bCs/>
          <w:sz w:val="24"/>
          <w:szCs w:val="24"/>
        </w:rPr>
      </w:pPr>
      <w:r w:rsidRPr="002C1DD9">
        <w:rPr>
          <w:rFonts w:ascii="Arial" w:hAnsi="Arial" w:cs="Arial"/>
          <w:b/>
          <w:bCs/>
          <w:sz w:val="24"/>
          <w:szCs w:val="24"/>
        </w:rPr>
        <w:t xml:space="preserve">With respect to the distance standards for mental health facilities, why is the </w:t>
      </w:r>
      <w:r w:rsidR="00D664D0" w:rsidRPr="002C1DD9">
        <w:rPr>
          <w:rFonts w:ascii="Arial" w:hAnsi="Arial" w:cs="Arial"/>
          <w:b/>
          <w:bCs/>
          <w:sz w:val="24"/>
          <w:szCs w:val="24"/>
        </w:rPr>
        <w:t>a</w:t>
      </w:r>
      <w:r w:rsidRPr="002C1DD9">
        <w:rPr>
          <w:rFonts w:ascii="Arial" w:hAnsi="Arial" w:cs="Arial"/>
          <w:b/>
          <w:bCs/>
          <w:sz w:val="24"/>
          <w:szCs w:val="24"/>
        </w:rPr>
        <w:t xml:space="preserve">lternative </w:t>
      </w:r>
      <w:r w:rsidR="00D664D0" w:rsidRPr="002C1DD9">
        <w:rPr>
          <w:rFonts w:ascii="Arial" w:hAnsi="Arial" w:cs="Arial"/>
          <w:b/>
          <w:bCs/>
          <w:sz w:val="24"/>
          <w:szCs w:val="24"/>
        </w:rPr>
        <w:t>s</w:t>
      </w:r>
      <w:r w:rsidRPr="002C1DD9">
        <w:rPr>
          <w:rFonts w:ascii="Arial" w:hAnsi="Arial" w:cs="Arial"/>
          <w:b/>
          <w:bCs/>
          <w:sz w:val="24"/>
          <w:szCs w:val="24"/>
        </w:rPr>
        <w:t xml:space="preserve">tandard </w:t>
      </w:r>
      <w:r w:rsidR="00D664D0" w:rsidRPr="002C1DD9">
        <w:rPr>
          <w:rFonts w:ascii="Arial" w:hAnsi="Arial" w:cs="Arial"/>
          <w:b/>
          <w:bCs/>
          <w:sz w:val="24"/>
          <w:szCs w:val="24"/>
        </w:rPr>
        <w:t xml:space="preserve">for low-supply counties </w:t>
      </w:r>
      <w:r w:rsidRPr="002C1DD9">
        <w:rPr>
          <w:rFonts w:ascii="Arial" w:hAnsi="Arial" w:cs="Arial"/>
          <w:b/>
          <w:bCs/>
          <w:sz w:val="24"/>
          <w:szCs w:val="24"/>
        </w:rPr>
        <w:t>based on bed capacity, rather than bed occupancy?</w:t>
      </w:r>
    </w:p>
    <w:p w14:paraId="67EA5EBD" w14:textId="3719B5D4" w:rsidR="00D664D0" w:rsidRPr="00D419BD" w:rsidRDefault="005E32A3" w:rsidP="008C18B7">
      <w:pPr>
        <w:spacing w:after="600"/>
        <w:ind w:left="720"/>
        <w:rPr>
          <w:rFonts w:ascii="Arial" w:hAnsi="Arial" w:cs="Arial"/>
          <w:sz w:val="24"/>
          <w:szCs w:val="24"/>
        </w:rPr>
      </w:pPr>
      <w:r w:rsidRPr="00D419BD">
        <w:rPr>
          <w:rFonts w:ascii="Arial" w:hAnsi="Arial" w:cs="Arial"/>
          <w:sz w:val="24"/>
          <w:szCs w:val="24"/>
        </w:rPr>
        <w:t xml:space="preserve">The alternative county standard for low supply counties is based on available mental health facility beds in the county because that data point illustrates the actual supply of inpatient mental health services in the county. </w:t>
      </w:r>
      <w:r w:rsidR="006E6F28" w:rsidRPr="00D419BD">
        <w:rPr>
          <w:rFonts w:ascii="Arial" w:hAnsi="Arial" w:cs="Arial"/>
          <w:sz w:val="24"/>
          <w:szCs w:val="24"/>
        </w:rPr>
        <w:t>“</w:t>
      </w:r>
      <w:r w:rsidRPr="00D419BD">
        <w:rPr>
          <w:rFonts w:ascii="Arial" w:hAnsi="Arial" w:cs="Arial"/>
          <w:sz w:val="24"/>
          <w:szCs w:val="24"/>
        </w:rPr>
        <w:t>Available beds,</w:t>
      </w:r>
      <w:r w:rsidR="006E6F28" w:rsidRPr="00D419BD">
        <w:rPr>
          <w:rFonts w:ascii="Arial" w:hAnsi="Arial" w:cs="Arial"/>
          <w:sz w:val="24"/>
          <w:szCs w:val="24"/>
        </w:rPr>
        <w:t>”</w:t>
      </w:r>
      <w:r w:rsidRPr="00D419BD">
        <w:rPr>
          <w:rFonts w:ascii="Arial" w:hAnsi="Arial" w:cs="Arial"/>
          <w:sz w:val="24"/>
          <w:szCs w:val="24"/>
        </w:rPr>
        <w:t xml:space="preserve"> as reported in the data available through the Department of Health Care Access and Information (HCAI) and the Department of Health Care Services (DHCS), reflects the </w:t>
      </w:r>
      <w:r w:rsidR="00AF77F3" w:rsidRPr="00D419BD">
        <w:rPr>
          <w:rFonts w:ascii="Arial" w:hAnsi="Arial" w:cs="Arial"/>
          <w:sz w:val="24"/>
          <w:szCs w:val="24"/>
        </w:rPr>
        <w:t>fixed</w:t>
      </w:r>
      <w:r w:rsidR="000079FB" w:rsidRPr="00D419BD">
        <w:rPr>
          <w:rFonts w:ascii="Arial" w:hAnsi="Arial" w:cs="Arial"/>
          <w:sz w:val="24"/>
          <w:szCs w:val="24"/>
        </w:rPr>
        <w:t xml:space="preserve"> </w:t>
      </w:r>
      <w:r w:rsidRPr="00D419BD">
        <w:rPr>
          <w:rFonts w:ascii="Arial" w:hAnsi="Arial" w:cs="Arial"/>
          <w:sz w:val="24"/>
          <w:szCs w:val="24"/>
        </w:rPr>
        <w:t xml:space="preserve">supply of </w:t>
      </w:r>
      <w:r w:rsidR="00251DF1" w:rsidRPr="00D419BD">
        <w:rPr>
          <w:rFonts w:ascii="Arial" w:hAnsi="Arial" w:cs="Arial"/>
          <w:sz w:val="24"/>
          <w:szCs w:val="24"/>
        </w:rPr>
        <w:t xml:space="preserve">inpatient </w:t>
      </w:r>
      <w:r w:rsidRPr="00D419BD">
        <w:rPr>
          <w:rFonts w:ascii="Arial" w:hAnsi="Arial" w:cs="Arial"/>
          <w:sz w:val="24"/>
          <w:szCs w:val="24"/>
        </w:rPr>
        <w:t>mental health services available at facilities in each county. In contrast, the bed occupancy rate is a measurement of bed utilization at one point in time</w:t>
      </w:r>
      <w:r w:rsidR="00BA462F" w:rsidRPr="00D419BD">
        <w:rPr>
          <w:rFonts w:ascii="Arial" w:hAnsi="Arial" w:cs="Arial"/>
          <w:sz w:val="24"/>
          <w:szCs w:val="24"/>
        </w:rPr>
        <w:t xml:space="preserve"> </w:t>
      </w:r>
      <w:r w:rsidRPr="00D419BD">
        <w:rPr>
          <w:rFonts w:ascii="Arial" w:hAnsi="Arial" w:cs="Arial"/>
          <w:sz w:val="24"/>
          <w:szCs w:val="24"/>
        </w:rPr>
        <w:t>and is subject to change throughout the year.</w:t>
      </w:r>
    </w:p>
    <w:p w14:paraId="4042EB98" w14:textId="77D1A982" w:rsidR="00CF4BDB" w:rsidRPr="002C1DD9" w:rsidRDefault="00CF4BDB" w:rsidP="006F5512">
      <w:pPr>
        <w:pStyle w:val="ListParagraph"/>
        <w:numPr>
          <w:ilvl w:val="0"/>
          <w:numId w:val="11"/>
        </w:numPr>
        <w:spacing w:after="240"/>
        <w:contextualSpacing w:val="0"/>
        <w:rPr>
          <w:rFonts w:ascii="Arial" w:hAnsi="Arial" w:cs="Arial"/>
          <w:b/>
          <w:bCs/>
          <w:sz w:val="24"/>
          <w:szCs w:val="24"/>
        </w:rPr>
      </w:pPr>
      <w:r w:rsidRPr="002C1DD9">
        <w:rPr>
          <w:rFonts w:ascii="Arial" w:hAnsi="Arial" w:cs="Arial"/>
          <w:b/>
          <w:bCs/>
          <w:sz w:val="24"/>
          <w:szCs w:val="24"/>
        </w:rPr>
        <w:lastRenderedPageBreak/>
        <w:t>In the Mental Health Geographic Access Standards and Methodology, the DMHC defines “Low-Density ZIP Codes” and “Normal-Density ZIP Codes.” Will the DMHC issue ZIP Code density types in future publications of the “California ZIP Code and County Combinations and Population Points” document?</w:t>
      </w:r>
    </w:p>
    <w:p w14:paraId="62550081" w14:textId="6597B671" w:rsidR="00CF4BDB" w:rsidRPr="00D419BD" w:rsidRDefault="00CF4BDB" w:rsidP="000C1C57">
      <w:pPr>
        <w:spacing w:after="600"/>
        <w:ind w:left="720"/>
        <w:rPr>
          <w:rFonts w:ascii="Arial" w:hAnsi="Arial" w:cs="Arial"/>
          <w:sz w:val="24"/>
          <w:szCs w:val="24"/>
        </w:rPr>
      </w:pPr>
      <w:r w:rsidRPr="00D419BD">
        <w:rPr>
          <w:rFonts w:ascii="Arial" w:hAnsi="Arial" w:cs="Arial"/>
          <w:sz w:val="24"/>
          <w:szCs w:val="24"/>
        </w:rPr>
        <w:t>The DMHC confirms that future publications of “California ZIP Code and County Combinations and Population Points” will identify low density ZIP Codes.</w:t>
      </w:r>
    </w:p>
    <w:p w14:paraId="3A946BE2" w14:textId="079B29D9" w:rsidR="007C18CF" w:rsidRPr="002C1DD9" w:rsidRDefault="007C18CF" w:rsidP="00AE690F">
      <w:pPr>
        <w:pStyle w:val="ListParagraph"/>
        <w:numPr>
          <w:ilvl w:val="0"/>
          <w:numId w:val="11"/>
        </w:numPr>
        <w:spacing w:after="240"/>
        <w:contextualSpacing w:val="0"/>
        <w:rPr>
          <w:rFonts w:ascii="Arial" w:hAnsi="Arial" w:cs="Arial"/>
          <w:b/>
          <w:bCs/>
          <w:sz w:val="24"/>
          <w:szCs w:val="24"/>
        </w:rPr>
      </w:pPr>
      <w:r w:rsidRPr="002C1DD9">
        <w:rPr>
          <w:rFonts w:ascii="Arial" w:hAnsi="Arial" w:cs="Arial"/>
          <w:b/>
          <w:bCs/>
          <w:sz w:val="24"/>
          <w:szCs w:val="24"/>
        </w:rPr>
        <w:t>If a plan does not meet a distance standard set forth in the Mental Health Geographic Access Standards and Methodology, how may the plan monitor for compliance with the alternative standard, which is based on low density ZIP Codes?</w:t>
      </w:r>
    </w:p>
    <w:p w14:paraId="6AFB9C8F" w14:textId="15C5784C" w:rsidR="007C18CF" w:rsidRPr="00D419BD" w:rsidRDefault="007C18CF" w:rsidP="00AE690F">
      <w:pPr>
        <w:spacing w:after="240"/>
        <w:ind w:left="720"/>
        <w:rPr>
          <w:rFonts w:ascii="Arial" w:hAnsi="Arial" w:cs="Arial"/>
          <w:sz w:val="24"/>
          <w:szCs w:val="24"/>
        </w:rPr>
      </w:pPr>
      <w:r w:rsidRPr="00D419BD">
        <w:rPr>
          <w:rFonts w:ascii="Arial" w:hAnsi="Arial" w:cs="Arial"/>
          <w:sz w:val="24"/>
          <w:szCs w:val="24"/>
        </w:rPr>
        <w:t>The alternative distance standards for low-density ZIP Codes provide the approach the DMHC will take when determining compliance with network adequacy requirements as part of its review obligations as described in Health and Safety Code section 1367.035. It is not necessary for a plan to fully operationalize monitoring for an alternative distance standard prior to RY 2024 in order for the DMHC to apply the alternative standard. If the DMHC determines a plan does not meet the geographic access standard or alternative standard based on the RY 2024 Annual Network Report submission, the plan will be informed of the findings and may be required to submit a corrective action plan or otherwise demonstrate that its network has mental health network providers in sufficient numbers and locations to ensure accessibility of services as required under the Knox-Keene Act and implementing regulations. Beginning in RY 2025, the DMHC may rely on this standard as a basis for carrying out and completing enforcement action.</w:t>
      </w:r>
    </w:p>
    <w:p w14:paraId="51B20386" w14:textId="77777777" w:rsidR="007C18CF" w:rsidRPr="00D419BD" w:rsidRDefault="007C18CF" w:rsidP="000B2923">
      <w:pPr>
        <w:spacing w:after="600"/>
        <w:ind w:left="720"/>
        <w:rPr>
          <w:rFonts w:ascii="Arial" w:hAnsi="Arial" w:cs="Arial"/>
          <w:sz w:val="24"/>
          <w:szCs w:val="24"/>
        </w:rPr>
      </w:pPr>
      <w:r w:rsidRPr="00D419BD">
        <w:rPr>
          <w:rFonts w:ascii="Arial" w:hAnsi="Arial" w:cs="Arial"/>
          <w:sz w:val="24"/>
          <w:szCs w:val="24"/>
        </w:rPr>
        <w:t>The DMHC’s Mental Health Geographic Access Standards and Methodology, along with the incorporated Schedules, should provide plans with sufficient detail regarding how the DMHC is determining compliance to allow plans to develop methods to monitor areas of non-compliance and implement corrections for future reporting years. The DMHC will also include information regarding low-density ZIP Codes in its “California ZIP Code and County Combinations and Population Points” document to further assist plans in monitoring compliance with the established methodology.</w:t>
      </w:r>
    </w:p>
    <w:p w14:paraId="6E58904D" w14:textId="4C6EB653" w:rsidR="004F7E9C" w:rsidRDefault="004F7E9C" w:rsidP="005E331C">
      <w:pPr>
        <w:pStyle w:val="AccessibleHeader"/>
        <w:spacing w:before="0"/>
        <w:rPr>
          <w:b w:val="0"/>
        </w:rPr>
      </w:pPr>
      <w:r w:rsidRPr="00BB3713">
        <w:lastRenderedPageBreak/>
        <w:t>Geographic Access Measurement Methodology</w:t>
      </w:r>
      <w:r w:rsidR="00BB3713">
        <w:t xml:space="preserve"> FAQ</w:t>
      </w:r>
      <w:r w:rsidR="00FD5AD5" w:rsidRPr="00FD5AD5">
        <w:t xml:space="preserve"> Responses</w:t>
      </w:r>
      <w:r w:rsidR="00581096">
        <w:t>:</w:t>
      </w:r>
    </w:p>
    <w:p w14:paraId="1F1C5A0E" w14:textId="59A87A2E" w:rsidR="00E80B09" w:rsidRPr="00E255E7" w:rsidRDefault="00CF32DE" w:rsidP="005E331C">
      <w:pPr>
        <w:pStyle w:val="ListParagraph"/>
        <w:numPr>
          <w:ilvl w:val="0"/>
          <w:numId w:val="12"/>
        </w:numPr>
        <w:spacing w:after="240"/>
        <w:contextualSpacing w:val="0"/>
        <w:rPr>
          <w:rFonts w:ascii="Arial" w:hAnsi="Arial" w:cs="Arial"/>
          <w:b/>
          <w:bCs/>
          <w:sz w:val="24"/>
          <w:szCs w:val="24"/>
        </w:rPr>
      </w:pPr>
      <w:r w:rsidRPr="00E255E7">
        <w:rPr>
          <w:rFonts w:ascii="Arial" w:hAnsi="Arial" w:cs="Arial"/>
          <w:b/>
          <w:bCs/>
          <w:sz w:val="24"/>
          <w:szCs w:val="24"/>
        </w:rPr>
        <w:t>With respect to the Geographic Access Measurement Methodology which is incorporated by reference in Rule 1300.67.2, can the DMHC provide additional information regarding the specific parameters and settings for the GIS software utilized, to allow for plans to mimic the D</w:t>
      </w:r>
      <w:r w:rsidR="00A97303" w:rsidRPr="00E255E7">
        <w:rPr>
          <w:rFonts w:ascii="Arial" w:hAnsi="Arial" w:cs="Arial"/>
          <w:b/>
          <w:bCs/>
          <w:sz w:val="24"/>
          <w:szCs w:val="24"/>
        </w:rPr>
        <w:t>MHC</w:t>
      </w:r>
      <w:r w:rsidRPr="00E255E7">
        <w:rPr>
          <w:rFonts w:ascii="Arial" w:hAnsi="Arial" w:cs="Arial"/>
          <w:b/>
          <w:bCs/>
          <w:sz w:val="24"/>
          <w:szCs w:val="24"/>
        </w:rPr>
        <w:t>’s geographic access calculations in internal monitoring?</w:t>
      </w:r>
    </w:p>
    <w:p w14:paraId="56AE7200" w14:textId="39F008F9" w:rsidR="00A97303" w:rsidRPr="005F55F5" w:rsidRDefault="005A2A1A" w:rsidP="000B2923">
      <w:pPr>
        <w:spacing w:after="600"/>
        <w:ind w:left="720"/>
        <w:rPr>
          <w:rFonts w:ascii="Arial" w:hAnsi="Arial" w:cs="Arial"/>
          <w:sz w:val="24"/>
          <w:szCs w:val="24"/>
        </w:rPr>
      </w:pPr>
      <w:r w:rsidRPr="005F55F5">
        <w:rPr>
          <w:rFonts w:ascii="Arial" w:hAnsi="Arial" w:cs="Arial"/>
          <w:sz w:val="24"/>
          <w:szCs w:val="24"/>
        </w:rPr>
        <w:t xml:space="preserve">The Geographic Access Measurement Methodology sets forth the parameters the DMHC shall use when determining plan compliance with geographic accessibility standards and the software requirements for review. </w:t>
      </w:r>
      <w:r w:rsidR="00B61939" w:rsidRPr="005F55F5">
        <w:rPr>
          <w:rFonts w:ascii="Arial" w:hAnsi="Arial" w:cs="Arial"/>
          <w:sz w:val="24"/>
          <w:szCs w:val="24"/>
        </w:rPr>
        <w:t>P</w:t>
      </w:r>
      <w:r w:rsidR="00471D6B" w:rsidRPr="005F55F5">
        <w:rPr>
          <w:rFonts w:ascii="Arial" w:hAnsi="Arial" w:cs="Arial"/>
          <w:sz w:val="24"/>
          <w:szCs w:val="24"/>
        </w:rPr>
        <w:t>lans should follow the description set forth therein to align with the D</w:t>
      </w:r>
      <w:r w:rsidR="00B61939" w:rsidRPr="005F55F5">
        <w:rPr>
          <w:rFonts w:ascii="Arial" w:hAnsi="Arial" w:cs="Arial"/>
          <w:sz w:val="24"/>
          <w:szCs w:val="24"/>
        </w:rPr>
        <w:t xml:space="preserve">MHC’s </w:t>
      </w:r>
      <w:r w:rsidR="00471D6B" w:rsidRPr="005F55F5">
        <w:rPr>
          <w:rFonts w:ascii="Arial" w:hAnsi="Arial" w:cs="Arial"/>
          <w:sz w:val="24"/>
          <w:szCs w:val="24"/>
        </w:rPr>
        <w:t xml:space="preserve">methodology. </w:t>
      </w:r>
      <w:r w:rsidR="001B1838" w:rsidRPr="005F55F5">
        <w:rPr>
          <w:rFonts w:ascii="Arial" w:hAnsi="Arial" w:cs="Arial"/>
          <w:sz w:val="24"/>
          <w:szCs w:val="24"/>
        </w:rPr>
        <w:t>The</w:t>
      </w:r>
      <w:r w:rsidR="00471D6B" w:rsidRPr="005F55F5">
        <w:rPr>
          <w:rFonts w:ascii="Arial" w:hAnsi="Arial" w:cs="Arial"/>
          <w:sz w:val="24"/>
          <w:szCs w:val="24"/>
        </w:rPr>
        <w:t xml:space="preserve"> methodology does not prescribe a specific software program to conduct this review. Specific settings cannot be provided at this time because settings that are specific to one program may not be applicable to another program. The D</w:t>
      </w:r>
      <w:r w:rsidR="001B1838" w:rsidRPr="005F55F5">
        <w:rPr>
          <w:rFonts w:ascii="Arial" w:hAnsi="Arial" w:cs="Arial"/>
          <w:sz w:val="24"/>
          <w:szCs w:val="24"/>
        </w:rPr>
        <w:t xml:space="preserve">MHC </w:t>
      </w:r>
      <w:r w:rsidR="00471D6B" w:rsidRPr="005F55F5">
        <w:rPr>
          <w:rFonts w:ascii="Arial" w:hAnsi="Arial" w:cs="Arial"/>
          <w:sz w:val="24"/>
          <w:szCs w:val="24"/>
        </w:rPr>
        <w:t>will share its results with plans if it identifies areas of non-compliance</w:t>
      </w:r>
      <w:r w:rsidR="006E7E73" w:rsidRPr="005F55F5">
        <w:rPr>
          <w:rFonts w:ascii="Arial" w:hAnsi="Arial" w:cs="Arial"/>
          <w:sz w:val="24"/>
          <w:szCs w:val="24"/>
        </w:rPr>
        <w:t>.</w:t>
      </w:r>
    </w:p>
    <w:p w14:paraId="0390FD1D" w14:textId="30C043F3" w:rsidR="00E80B09" w:rsidRPr="00E255E7" w:rsidRDefault="00B42413" w:rsidP="005E331C">
      <w:pPr>
        <w:pStyle w:val="ListParagraph"/>
        <w:numPr>
          <w:ilvl w:val="0"/>
          <w:numId w:val="12"/>
        </w:numPr>
        <w:spacing w:after="240"/>
        <w:contextualSpacing w:val="0"/>
        <w:rPr>
          <w:rFonts w:ascii="Arial" w:hAnsi="Arial" w:cs="Arial"/>
          <w:b/>
          <w:bCs/>
          <w:sz w:val="24"/>
          <w:szCs w:val="24"/>
        </w:rPr>
      </w:pPr>
      <w:r w:rsidRPr="00E255E7">
        <w:rPr>
          <w:rFonts w:ascii="Arial" w:hAnsi="Arial" w:cs="Arial"/>
          <w:b/>
          <w:bCs/>
          <w:sz w:val="24"/>
          <w:szCs w:val="24"/>
        </w:rPr>
        <w:t xml:space="preserve">Will the </w:t>
      </w:r>
      <w:r w:rsidR="005D37F6" w:rsidRPr="00E255E7">
        <w:rPr>
          <w:rFonts w:ascii="Arial" w:hAnsi="Arial" w:cs="Arial"/>
          <w:b/>
          <w:bCs/>
          <w:sz w:val="24"/>
          <w:szCs w:val="24"/>
        </w:rPr>
        <w:t xml:space="preserve">DMHC </w:t>
      </w:r>
      <w:r w:rsidRPr="00E255E7">
        <w:rPr>
          <w:rFonts w:ascii="Arial" w:hAnsi="Arial" w:cs="Arial"/>
          <w:b/>
          <w:bCs/>
          <w:sz w:val="24"/>
          <w:szCs w:val="24"/>
        </w:rPr>
        <w:t>provide its geographic access measurements to plans?</w:t>
      </w:r>
    </w:p>
    <w:p w14:paraId="039F0BE4" w14:textId="07448230" w:rsidR="00841253" w:rsidRPr="005F55F5" w:rsidRDefault="00B62D4A" w:rsidP="005E331C">
      <w:pPr>
        <w:spacing w:after="240"/>
        <w:ind w:left="720"/>
        <w:rPr>
          <w:rFonts w:ascii="Arial" w:hAnsi="Arial" w:cs="Arial"/>
          <w:sz w:val="24"/>
          <w:szCs w:val="24"/>
        </w:rPr>
      </w:pPr>
      <w:r w:rsidRPr="005F55F5">
        <w:rPr>
          <w:rFonts w:ascii="Arial" w:hAnsi="Arial" w:cs="Arial"/>
          <w:sz w:val="24"/>
          <w:szCs w:val="24"/>
        </w:rPr>
        <w:t>The DMHC provides plans with non-compliance findings arising out of the Annual Network Review on an annual basis. These findings will continue to include the DMHC's geographic access distances calculated under the review methodology. With respect to licensure filings, the DMHC will continue to review plans under existing geographic access standards, using the Geographic Access Measurement Methodology.</w:t>
      </w:r>
    </w:p>
    <w:p w14:paraId="31586073" w14:textId="5B1036E8" w:rsidR="00B42413" w:rsidRPr="005F55F5" w:rsidRDefault="00EE1CD2" w:rsidP="005E331C">
      <w:pPr>
        <w:spacing w:after="600"/>
        <w:ind w:left="720"/>
        <w:rPr>
          <w:rFonts w:ascii="Arial" w:hAnsi="Arial" w:cs="Arial"/>
          <w:sz w:val="24"/>
          <w:szCs w:val="24"/>
        </w:rPr>
      </w:pPr>
      <w:r w:rsidRPr="005F55F5">
        <w:rPr>
          <w:rFonts w:ascii="Arial" w:hAnsi="Arial" w:cs="Arial"/>
          <w:sz w:val="24"/>
          <w:szCs w:val="24"/>
        </w:rPr>
        <w:t>The DMHC</w:t>
      </w:r>
      <w:r w:rsidR="001165C5" w:rsidRPr="005F55F5">
        <w:rPr>
          <w:rFonts w:ascii="Arial" w:hAnsi="Arial" w:cs="Arial"/>
          <w:sz w:val="24"/>
          <w:szCs w:val="24"/>
        </w:rPr>
        <w:t xml:space="preserve"> </w:t>
      </w:r>
      <w:r w:rsidRPr="005F55F5">
        <w:rPr>
          <w:rFonts w:ascii="Arial" w:hAnsi="Arial" w:cs="Arial"/>
          <w:sz w:val="24"/>
          <w:szCs w:val="24"/>
        </w:rPr>
        <w:t>releases all representative population points, including their geolocation, for all ZIP Code/county combinations in the state of California through the “California ZIP Code and County Combinations and Population Points” document that is published on the Resources page of the Timely Access and Annual Network Reporting Web Portal.</w:t>
      </w:r>
      <w:r w:rsidR="0081183A" w:rsidRPr="005F55F5">
        <w:rPr>
          <w:rFonts w:ascii="Arial" w:hAnsi="Arial" w:cs="Arial"/>
          <w:sz w:val="24"/>
          <w:szCs w:val="24"/>
        </w:rPr>
        <w:t xml:space="preserve"> These population points are provided </w:t>
      </w:r>
      <w:r w:rsidR="003914D6" w:rsidRPr="005F55F5">
        <w:rPr>
          <w:rFonts w:ascii="Arial" w:hAnsi="Arial" w:cs="Arial"/>
          <w:sz w:val="24"/>
          <w:szCs w:val="24"/>
        </w:rPr>
        <w:t>for plans</w:t>
      </w:r>
      <w:r w:rsidR="0081183A" w:rsidRPr="005F55F5">
        <w:rPr>
          <w:rFonts w:ascii="Arial" w:hAnsi="Arial" w:cs="Arial"/>
          <w:sz w:val="24"/>
          <w:szCs w:val="24"/>
        </w:rPr>
        <w:t xml:space="preserve"> to </w:t>
      </w:r>
      <w:r w:rsidR="00C75EA8" w:rsidRPr="005F55F5">
        <w:rPr>
          <w:rFonts w:ascii="Arial" w:hAnsi="Arial" w:cs="Arial"/>
          <w:sz w:val="24"/>
          <w:szCs w:val="24"/>
        </w:rPr>
        <w:t xml:space="preserve">use in their own </w:t>
      </w:r>
      <w:r w:rsidR="00314447" w:rsidRPr="005F55F5">
        <w:rPr>
          <w:rFonts w:ascii="Arial" w:hAnsi="Arial" w:cs="Arial"/>
          <w:sz w:val="24"/>
          <w:szCs w:val="24"/>
        </w:rPr>
        <w:t xml:space="preserve">monitoring of compliance </w:t>
      </w:r>
      <w:r w:rsidR="00991F4B" w:rsidRPr="005F55F5">
        <w:rPr>
          <w:rFonts w:ascii="Arial" w:hAnsi="Arial" w:cs="Arial"/>
          <w:sz w:val="24"/>
          <w:szCs w:val="24"/>
        </w:rPr>
        <w:t xml:space="preserve">in accordance </w:t>
      </w:r>
      <w:r w:rsidR="00314447" w:rsidRPr="005F55F5">
        <w:rPr>
          <w:rFonts w:ascii="Arial" w:hAnsi="Arial" w:cs="Arial"/>
          <w:sz w:val="24"/>
          <w:szCs w:val="24"/>
        </w:rPr>
        <w:t xml:space="preserve">with </w:t>
      </w:r>
      <w:r w:rsidR="00991F4B" w:rsidRPr="005F55F5">
        <w:rPr>
          <w:rFonts w:ascii="Arial" w:hAnsi="Arial" w:cs="Arial"/>
          <w:sz w:val="24"/>
          <w:szCs w:val="24"/>
        </w:rPr>
        <w:t xml:space="preserve">the </w:t>
      </w:r>
      <w:r w:rsidR="001B0D50" w:rsidRPr="005F55F5">
        <w:rPr>
          <w:rFonts w:ascii="Arial" w:hAnsi="Arial" w:cs="Arial"/>
          <w:sz w:val="24"/>
          <w:szCs w:val="24"/>
        </w:rPr>
        <w:t>m</w:t>
      </w:r>
      <w:r w:rsidR="00991F4B" w:rsidRPr="005F55F5">
        <w:rPr>
          <w:rFonts w:ascii="Arial" w:hAnsi="Arial" w:cs="Arial"/>
          <w:sz w:val="24"/>
          <w:szCs w:val="24"/>
        </w:rPr>
        <w:t>ethodology.</w:t>
      </w:r>
    </w:p>
    <w:p w14:paraId="04E47495" w14:textId="50ACED2C" w:rsidR="00B42413" w:rsidRPr="00E255E7" w:rsidRDefault="00B42413" w:rsidP="008C3051">
      <w:pPr>
        <w:pStyle w:val="ListParagraph"/>
        <w:keepNext/>
        <w:numPr>
          <w:ilvl w:val="0"/>
          <w:numId w:val="12"/>
        </w:numPr>
        <w:spacing w:after="240"/>
        <w:contextualSpacing w:val="0"/>
        <w:rPr>
          <w:rFonts w:ascii="Arial" w:hAnsi="Arial" w:cs="Arial"/>
          <w:b/>
          <w:bCs/>
          <w:sz w:val="24"/>
          <w:szCs w:val="24"/>
        </w:rPr>
      </w:pPr>
      <w:r w:rsidRPr="00E255E7">
        <w:rPr>
          <w:rFonts w:ascii="Arial" w:hAnsi="Arial" w:cs="Arial"/>
          <w:b/>
          <w:bCs/>
          <w:sz w:val="24"/>
          <w:szCs w:val="24"/>
        </w:rPr>
        <w:lastRenderedPageBreak/>
        <w:t xml:space="preserve">Does the </w:t>
      </w:r>
      <w:r w:rsidR="005D37F6" w:rsidRPr="00E255E7">
        <w:rPr>
          <w:rFonts w:ascii="Arial" w:hAnsi="Arial" w:cs="Arial"/>
          <w:b/>
          <w:bCs/>
          <w:sz w:val="24"/>
          <w:szCs w:val="24"/>
        </w:rPr>
        <w:t>DMHC</w:t>
      </w:r>
      <w:r w:rsidR="006B6438" w:rsidRPr="00E255E7">
        <w:rPr>
          <w:rFonts w:ascii="Arial" w:hAnsi="Arial" w:cs="Arial"/>
          <w:b/>
          <w:bCs/>
          <w:sz w:val="24"/>
          <w:szCs w:val="24"/>
        </w:rPr>
        <w:t>’</w:t>
      </w:r>
      <w:r w:rsidRPr="00E255E7">
        <w:rPr>
          <w:rFonts w:ascii="Arial" w:hAnsi="Arial" w:cs="Arial"/>
          <w:b/>
          <w:bCs/>
          <w:sz w:val="24"/>
          <w:szCs w:val="24"/>
        </w:rPr>
        <w:t>s geographic access review using population points align with the DHCS?</w:t>
      </w:r>
    </w:p>
    <w:p w14:paraId="2CF87372" w14:textId="672D9C34" w:rsidR="0023687B" w:rsidRPr="005F55F5" w:rsidRDefault="00D17279" w:rsidP="00A50ED1">
      <w:pPr>
        <w:spacing w:after="600"/>
        <w:ind w:left="720"/>
        <w:rPr>
          <w:rFonts w:ascii="Arial" w:hAnsi="Arial" w:cs="Arial"/>
          <w:sz w:val="24"/>
          <w:szCs w:val="24"/>
        </w:rPr>
      </w:pPr>
      <w:r w:rsidRPr="005F55F5">
        <w:rPr>
          <w:rFonts w:ascii="Arial" w:hAnsi="Arial" w:cs="Arial"/>
          <w:sz w:val="24"/>
          <w:szCs w:val="24"/>
        </w:rPr>
        <w:t>T</w:t>
      </w:r>
      <w:r w:rsidR="008D4475" w:rsidRPr="005F55F5">
        <w:rPr>
          <w:rFonts w:ascii="Arial" w:hAnsi="Arial" w:cs="Arial"/>
          <w:sz w:val="24"/>
          <w:szCs w:val="24"/>
        </w:rPr>
        <w:t xml:space="preserve">he </w:t>
      </w:r>
      <w:r w:rsidRPr="005F55F5">
        <w:rPr>
          <w:rFonts w:ascii="Arial" w:hAnsi="Arial" w:cs="Arial"/>
          <w:sz w:val="24"/>
          <w:szCs w:val="24"/>
        </w:rPr>
        <w:t>DMHC</w:t>
      </w:r>
      <w:r w:rsidR="008D4475" w:rsidRPr="005F55F5">
        <w:rPr>
          <w:rFonts w:ascii="Arial" w:hAnsi="Arial" w:cs="Arial"/>
          <w:sz w:val="24"/>
          <w:szCs w:val="24"/>
        </w:rPr>
        <w:t xml:space="preserve"> coordinates with the Department of Health Care Services to provide maximum consistency in the review process. </w:t>
      </w:r>
      <w:r w:rsidR="000D66DC" w:rsidRPr="005F55F5">
        <w:rPr>
          <w:rFonts w:ascii="Arial" w:hAnsi="Arial" w:cs="Arial"/>
          <w:sz w:val="24"/>
          <w:szCs w:val="24"/>
        </w:rPr>
        <w:t xml:space="preserve">In general, both Departments </w:t>
      </w:r>
      <w:r w:rsidR="005E3C3D" w:rsidRPr="005F55F5">
        <w:rPr>
          <w:rFonts w:ascii="Arial" w:hAnsi="Arial" w:cs="Arial"/>
          <w:sz w:val="24"/>
          <w:szCs w:val="24"/>
        </w:rPr>
        <w:t xml:space="preserve">have </w:t>
      </w:r>
      <w:r w:rsidR="008D7991" w:rsidRPr="005F55F5">
        <w:rPr>
          <w:rFonts w:ascii="Arial" w:hAnsi="Arial" w:cs="Arial"/>
          <w:sz w:val="24"/>
          <w:szCs w:val="24"/>
        </w:rPr>
        <w:t xml:space="preserve">arranged to draw from the same </w:t>
      </w:r>
      <w:r w:rsidR="00A8281D" w:rsidRPr="005F55F5">
        <w:rPr>
          <w:rFonts w:ascii="Arial" w:hAnsi="Arial" w:cs="Arial"/>
          <w:sz w:val="24"/>
          <w:szCs w:val="24"/>
        </w:rPr>
        <w:t>set of population points when evaluating geographic access</w:t>
      </w:r>
      <w:r w:rsidR="00576060" w:rsidRPr="005F55F5">
        <w:rPr>
          <w:rFonts w:ascii="Arial" w:hAnsi="Arial" w:cs="Arial"/>
          <w:sz w:val="24"/>
          <w:szCs w:val="24"/>
        </w:rPr>
        <w:t xml:space="preserve">. There may be some variation </w:t>
      </w:r>
      <w:r w:rsidR="00C745A5" w:rsidRPr="005F55F5">
        <w:rPr>
          <w:rFonts w:ascii="Arial" w:hAnsi="Arial" w:cs="Arial"/>
          <w:sz w:val="24"/>
          <w:szCs w:val="24"/>
        </w:rPr>
        <w:t>in the population points used for distance measurements</w:t>
      </w:r>
      <w:r w:rsidR="00A8281D" w:rsidRPr="005F55F5">
        <w:rPr>
          <w:rFonts w:ascii="Arial" w:hAnsi="Arial" w:cs="Arial"/>
          <w:sz w:val="24"/>
          <w:szCs w:val="24"/>
        </w:rPr>
        <w:t xml:space="preserve"> </w:t>
      </w:r>
      <w:r w:rsidR="00C745A5" w:rsidRPr="005F55F5">
        <w:rPr>
          <w:rFonts w:ascii="Arial" w:hAnsi="Arial" w:cs="Arial"/>
          <w:sz w:val="24"/>
          <w:szCs w:val="24"/>
        </w:rPr>
        <w:t>due to</w:t>
      </w:r>
      <w:r w:rsidR="008D4475" w:rsidRPr="005F55F5">
        <w:rPr>
          <w:rFonts w:ascii="Arial" w:hAnsi="Arial" w:cs="Arial"/>
          <w:sz w:val="24"/>
          <w:szCs w:val="24"/>
        </w:rPr>
        <w:t xml:space="preserve"> inconsistency in the timing of the review or the methodology for review based on prog</w:t>
      </w:r>
      <w:r w:rsidRPr="005F55F5">
        <w:rPr>
          <w:rFonts w:ascii="Arial" w:hAnsi="Arial" w:cs="Arial"/>
          <w:sz w:val="24"/>
          <w:szCs w:val="24"/>
        </w:rPr>
        <w:t>r</w:t>
      </w:r>
      <w:r w:rsidR="008D4475" w:rsidRPr="005F55F5">
        <w:rPr>
          <w:rFonts w:ascii="Arial" w:hAnsi="Arial" w:cs="Arial"/>
          <w:sz w:val="24"/>
          <w:szCs w:val="24"/>
        </w:rPr>
        <w:t>am differences or differences in governing laws and regulation</w:t>
      </w:r>
      <w:r w:rsidRPr="005F55F5">
        <w:rPr>
          <w:rFonts w:ascii="Arial" w:hAnsi="Arial" w:cs="Arial"/>
          <w:sz w:val="24"/>
          <w:szCs w:val="24"/>
        </w:rPr>
        <w:t>.</w:t>
      </w:r>
    </w:p>
    <w:p w14:paraId="3E7E0F8B" w14:textId="1F595F25" w:rsidR="00520068" w:rsidRPr="00E255E7" w:rsidRDefault="00520068" w:rsidP="008C3051">
      <w:pPr>
        <w:pStyle w:val="ListParagraph"/>
        <w:keepNext/>
        <w:numPr>
          <w:ilvl w:val="0"/>
          <w:numId w:val="12"/>
        </w:numPr>
        <w:spacing w:after="240"/>
        <w:contextualSpacing w:val="0"/>
        <w:rPr>
          <w:rFonts w:ascii="Arial" w:hAnsi="Arial" w:cs="Arial"/>
          <w:b/>
          <w:bCs/>
          <w:sz w:val="24"/>
          <w:szCs w:val="24"/>
        </w:rPr>
      </w:pPr>
      <w:r w:rsidRPr="00E255E7">
        <w:rPr>
          <w:rFonts w:ascii="Arial" w:hAnsi="Arial" w:cs="Arial"/>
          <w:b/>
          <w:bCs/>
          <w:sz w:val="24"/>
          <w:szCs w:val="24"/>
        </w:rPr>
        <w:t xml:space="preserve">With respect to the Geographic Access Measurement Methodology, how does the DMHC review </w:t>
      </w:r>
      <w:r w:rsidR="00860D0B" w:rsidRPr="00E255E7">
        <w:rPr>
          <w:rFonts w:ascii="Arial" w:hAnsi="Arial" w:cs="Arial"/>
          <w:b/>
          <w:bCs/>
          <w:sz w:val="24"/>
          <w:szCs w:val="24"/>
        </w:rPr>
        <w:t>ZIP Codes and Counties (</w:t>
      </w:r>
      <w:r w:rsidRPr="00E255E7">
        <w:rPr>
          <w:rFonts w:ascii="Arial" w:hAnsi="Arial" w:cs="Arial"/>
          <w:b/>
          <w:bCs/>
          <w:sz w:val="24"/>
          <w:szCs w:val="24"/>
        </w:rPr>
        <w:t>CountyZ</w:t>
      </w:r>
      <w:r w:rsidR="00860D0B" w:rsidRPr="00E255E7">
        <w:rPr>
          <w:rFonts w:ascii="Arial" w:hAnsi="Arial" w:cs="Arial"/>
          <w:b/>
          <w:bCs/>
          <w:sz w:val="24"/>
          <w:szCs w:val="24"/>
        </w:rPr>
        <w:t>IPs)</w:t>
      </w:r>
      <w:r w:rsidRPr="00E255E7">
        <w:rPr>
          <w:rFonts w:ascii="Arial" w:hAnsi="Arial" w:cs="Arial"/>
          <w:b/>
          <w:bCs/>
          <w:sz w:val="24"/>
          <w:szCs w:val="24"/>
        </w:rPr>
        <w:t xml:space="preserve"> that have no geography (such as P.O. Boxes)?</w:t>
      </w:r>
    </w:p>
    <w:p w14:paraId="75A9B149" w14:textId="2E5BCD9C" w:rsidR="006F0865" w:rsidRPr="006F0865" w:rsidRDefault="00860D0B" w:rsidP="00A2417E">
      <w:pPr>
        <w:pStyle w:val="ListParagraph"/>
        <w:spacing w:after="600"/>
        <w:contextualSpacing w:val="0"/>
        <w:rPr>
          <w:rFonts w:ascii="Arial" w:hAnsi="Arial" w:cs="Arial"/>
          <w:sz w:val="24"/>
          <w:szCs w:val="24"/>
        </w:rPr>
      </w:pPr>
      <w:r w:rsidRPr="005F55F5">
        <w:rPr>
          <w:rFonts w:ascii="Arial" w:hAnsi="Arial" w:cs="Arial"/>
          <w:sz w:val="24"/>
          <w:szCs w:val="24"/>
        </w:rPr>
        <w:t>The DMHC includes “single point” CountyZIPs, such as PO Box and firm ZIP Codes</w:t>
      </w:r>
      <w:r w:rsidR="006F0865" w:rsidRPr="006F0865">
        <w:rPr>
          <w:rFonts w:ascii="Arial" w:hAnsi="Arial" w:cs="Arial"/>
          <w:sz w:val="24"/>
          <w:szCs w:val="24"/>
        </w:rPr>
        <w:t xml:space="preserve"> as single population points</w:t>
      </w:r>
      <w:r w:rsidRPr="005F55F5">
        <w:rPr>
          <w:rFonts w:ascii="Arial" w:hAnsi="Arial" w:cs="Arial"/>
          <w:sz w:val="24"/>
          <w:szCs w:val="24"/>
        </w:rPr>
        <w:t xml:space="preserve"> within the “California ZIP Code and County Combinations and Population Points” document distributed annually to plans pursuant to Rule 1300.67.2.2. </w:t>
      </w:r>
      <w:r w:rsidR="006F0865" w:rsidRPr="006F0865">
        <w:rPr>
          <w:rFonts w:ascii="Arial" w:hAnsi="Arial" w:cs="Arial"/>
          <w:sz w:val="24"/>
          <w:szCs w:val="24"/>
        </w:rPr>
        <w:t>Each single point CountyZIP has latitude and longitude coordinates and a population value based on United States Postal Service delivery statistics. Driving distances and expected driving times for single point CountyZIPs are measured in the same way other population point</w:t>
      </w:r>
      <w:r w:rsidR="000C45E4">
        <w:rPr>
          <w:rFonts w:ascii="Arial" w:hAnsi="Arial" w:cs="Arial"/>
          <w:sz w:val="24"/>
          <w:szCs w:val="24"/>
        </w:rPr>
        <w:t>s</w:t>
      </w:r>
      <w:r w:rsidR="006F0865" w:rsidRPr="006F0865">
        <w:rPr>
          <w:rFonts w:ascii="Arial" w:hAnsi="Arial" w:cs="Arial"/>
          <w:sz w:val="24"/>
          <w:szCs w:val="24"/>
        </w:rPr>
        <w:t>, as described in the Geographic Access Measurement Methodology.</w:t>
      </w:r>
    </w:p>
    <w:p w14:paraId="385A08F1" w14:textId="14BBA250" w:rsidR="00B21331" w:rsidRPr="00E255E7" w:rsidRDefault="00B21331" w:rsidP="008C3051">
      <w:pPr>
        <w:pStyle w:val="ListParagraph"/>
        <w:keepNext/>
        <w:numPr>
          <w:ilvl w:val="0"/>
          <w:numId w:val="12"/>
        </w:numPr>
        <w:spacing w:after="240"/>
        <w:contextualSpacing w:val="0"/>
        <w:rPr>
          <w:rFonts w:ascii="Arial" w:hAnsi="Arial" w:cs="Arial"/>
          <w:b/>
          <w:bCs/>
          <w:sz w:val="24"/>
          <w:szCs w:val="24"/>
        </w:rPr>
      </w:pPr>
      <w:r w:rsidRPr="00E255E7">
        <w:rPr>
          <w:rFonts w:ascii="Arial" w:hAnsi="Arial" w:cs="Arial"/>
          <w:b/>
          <w:bCs/>
          <w:sz w:val="24"/>
          <w:szCs w:val="24"/>
        </w:rPr>
        <w:t>With respect to the Geographic Access Measurement Methodology</w:t>
      </w:r>
      <w:r w:rsidR="00C94CA1" w:rsidRPr="00E255E7">
        <w:rPr>
          <w:rFonts w:ascii="Arial" w:hAnsi="Arial" w:cs="Arial"/>
          <w:b/>
          <w:bCs/>
          <w:sz w:val="24"/>
          <w:szCs w:val="24"/>
        </w:rPr>
        <w:t>,</w:t>
      </w:r>
      <w:r w:rsidRPr="00E255E7">
        <w:rPr>
          <w:rFonts w:ascii="Arial" w:hAnsi="Arial" w:cs="Arial"/>
          <w:b/>
          <w:bCs/>
          <w:sz w:val="24"/>
          <w:szCs w:val="24"/>
        </w:rPr>
        <w:t xml:space="preserve"> what is the process for validation of the CountyZIP list, and what course of action can be taken to correct issues?</w:t>
      </w:r>
    </w:p>
    <w:p w14:paraId="34639019" w14:textId="2B2CBDAD" w:rsidR="00AE68AD" w:rsidRPr="005F55F5" w:rsidRDefault="00FC2FE2" w:rsidP="00B94576">
      <w:pPr>
        <w:spacing w:after="600"/>
        <w:ind w:left="720"/>
        <w:rPr>
          <w:rFonts w:ascii="Arial" w:hAnsi="Arial" w:cs="Arial"/>
          <w:b/>
          <w:bCs/>
          <w:sz w:val="24"/>
          <w:szCs w:val="24"/>
        </w:rPr>
      </w:pPr>
      <w:r w:rsidRPr="005F55F5">
        <w:rPr>
          <w:rFonts w:ascii="Arial" w:hAnsi="Arial" w:cs="Arial"/>
          <w:sz w:val="24"/>
          <w:szCs w:val="24"/>
        </w:rPr>
        <w:t xml:space="preserve">The DMHC compiles and releases the </w:t>
      </w:r>
      <w:r w:rsidR="009A0752" w:rsidRPr="005F55F5">
        <w:rPr>
          <w:rFonts w:ascii="Arial" w:hAnsi="Arial" w:cs="Arial"/>
          <w:sz w:val="24"/>
          <w:szCs w:val="24"/>
        </w:rPr>
        <w:t>“</w:t>
      </w:r>
      <w:r w:rsidRPr="005F55F5">
        <w:rPr>
          <w:rFonts w:ascii="Arial" w:hAnsi="Arial" w:cs="Arial"/>
          <w:sz w:val="24"/>
          <w:szCs w:val="24"/>
        </w:rPr>
        <w:t>California ZIP Code and County Combinations and Population Points</w:t>
      </w:r>
      <w:r w:rsidR="009A0752" w:rsidRPr="005F55F5">
        <w:rPr>
          <w:rFonts w:ascii="Arial" w:hAnsi="Arial" w:cs="Arial"/>
          <w:sz w:val="24"/>
          <w:szCs w:val="24"/>
        </w:rPr>
        <w:t>”</w:t>
      </w:r>
      <w:r w:rsidRPr="005F55F5">
        <w:rPr>
          <w:rFonts w:ascii="Arial" w:hAnsi="Arial" w:cs="Arial"/>
          <w:sz w:val="24"/>
          <w:szCs w:val="24"/>
        </w:rPr>
        <w:t xml:space="preserve"> annually pursuant to Rule 1300.67.2.2. The ZIP Code/County combinations are derived from the list of all ZIP Code and county combinations in the state as published by the United States Postal Service. A plan that believes there is an error on the list is invited to contact the D</w:t>
      </w:r>
      <w:r w:rsidR="00BA378F" w:rsidRPr="005F55F5">
        <w:rPr>
          <w:rFonts w:ascii="Arial" w:hAnsi="Arial" w:cs="Arial"/>
          <w:sz w:val="24"/>
          <w:szCs w:val="24"/>
        </w:rPr>
        <w:t xml:space="preserve">MHC </w:t>
      </w:r>
      <w:r w:rsidRPr="005F55F5">
        <w:rPr>
          <w:rFonts w:ascii="Arial" w:hAnsi="Arial" w:cs="Arial"/>
          <w:sz w:val="24"/>
          <w:szCs w:val="24"/>
        </w:rPr>
        <w:t xml:space="preserve">via the ANR Inbox (ANRTeam@DMHC.CA.GOV) and provide further information. In general, as stated in the Geographic Access Measurement Methodology, the </w:t>
      </w:r>
      <w:r w:rsidR="00880472" w:rsidRPr="005F55F5">
        <w:rPr>
          <w:rFonts w:ascii="Arial" w:hAnsi="Arial" w:cs="Arial"/>
          <w:sz w:val="24"/>
          <w:szCs w:val="24"/>
        </w:rPr>
        <w:t>DMHC</w:t>
      </w:r>
      <w:r w:rsidR="00E56B40" w:rsidRPr="005F55F5">
        <w:rPr>
          <w:rFonts w:ascii="Arial" w:hAnsi="Arial" w:cs="Arial"/>
          <w:sz w:val="24"/>
          <w:szCs w:val="24"/>
        </w:rPr>
        <w:t>’</w:t>
      </w:r>
      <w:r w:rsidRPr="005F55F5">
        <w:rPr>
          <w:rFonts w:ascii="Arial" w:hAnsi="Arial" w:cs="Arial"/>
          <w:sz w:val="24"/>
          <w:szCs w:val="24"/>
        </w:rPr>
        <w:t>s list of ZIP Code/</w:t>
      </w:r>
      <w:r w:rsidR="00E56B40" w:rsidRPr="005F55F5">
        <w:rPr>
          <w:rFonts w:ascii="Arial" w:hAnsi="Arial" w:cs="Arial"/>
          <w:sz w:val="24"/>
          <w:szCs w:val="24"/>
        </w:rPr>
        <w:t>c</w:t>
      </w:r>
      <w:r w:rsidRPr="005F55F5">
        <w:rPr>
          <w:rFonts w:ascii="Arial" w:hAnsi="Arial" w:cs="Arial"/>
          <w:sz w:val="24"/>
          <w:szCs w:val="24"/>
        </w:rPr>
        <w:t xml:space="preserve">ounty combinations included in the </w:t>
      </w:r>
      <w:r w:rsidR="00E56B40" w:rsidRPr="005F55F5">
        <w:rPr>
          <w:rFonts w:ascii="Arial" w:hAnsi="Arial" w:cs="Arial"/>
          <w:sz w:val="24"/>
          <w:szCs w:val="24"/>
        </w:rPr>
        <w:t>“</w:t>
      </w:r>
      <w:r w:rsidRPr="005F55F5">
        <w:rPr>
          <w:rFonts w:ascii="Arial" w:hAnsi="Arial" w:cs="Arial"/>
          <w:sz w:val="24"/>
          <w:szCs w:val="24"/>
        </w:rPr>
        <w:t>California ZIP Code and County Combinations and Population Points</w:t>
      </w:r>
      <w:r w:rsidR="00E56B40" w:rsidRPr="005F55F5">
        <w:rPr>
          <w:rFonts w:ascii="Arial" w:hAnsi="Arial" w:cs="Arial"/>
          <w:sz w:val="24"/>
          <w:szCs w:val="24"/>
        </w:rPr>
        <w:t>”</w:t>
      </w:r>
      <w:r w:rsidRPr="005F55F5">
        <w:rPr>
          <w:rFonts w:ascii="Arial" w:hAnsi="Arial" w:cs="Arial"/>
          <w:sz w:val="24"/>
          <w:szCs w:val="24"/>
        </w:rPr>
        <w:t xml:space="preserve"> document is considered the complete list of ZIP Codes published by the D</w:t>
      </w:r>
      <w:r w:rsidR="00CC7E89" w:rsidRPr="005F55F5">
        <w:rPr>
          <w:rFonts w:ascii="Arial" w:hAnsi="Arial" w:cs="Arial"/>
          <w:sz w:val="24"/>
          <w:szCs w:val="24"/>
        </w:rPr>
        <w:t>MHC</w:t>
      </w:r>
      <w:r w:rsidRPr="005F55F5">
        <w:rPr>
          <w:rFonts w:ascii="Arial" w:hAnsi="Arial" w:cs="Arial"/>
          <w:sz w:val="24"/>
          <w:szCs w:val="24"/>
        </w:rPr>
        <w:t xml:space="preserve"> pursuant to Rule 1300.67.2.2(b)(11) and will be used when defining network service areas </w:t>
      </w:r>
      <w:r w:rsidRPr="005F55F5">
        <w:rPr>
          <w:rFonts w:ascii="Arial" w:hAnsi="Arial" w:cs="Arial"/>
          <w:sz w:val="24"/>
          <w:szCs w:val="24"/>
        </w:rPr>
        <w:lastRenderedPageBreak/>
        <w:t>and measuring network adequacy for the relevant year, pursuant to Rule 1300.67.2.2(b)(6).</w:t>
      </w:r>
    </w:p>
    <w:p w14:paraId="403C74E1" w14:textId="4340C0F3" w:rsidR="008953CF" w:rsidRPr="00E255E7" w:rsidRDefault="008953CF" w:rsidP="00400B2C">
      <w:pPr>
        <w:pStyle w:val="ListParagraph"/>
        <w:numPr>
          <w:ilvl w:val="0"/>
          <w:numId w:val="12"/>
        </w:numPr>
        <w:spacing w:after="240"/>
        <w:contextualSpacing w:val="0"/>
        <w:rPr>
          <w:rFonts w:ascii="Arial" w:hAnsi="Arial" w:cs="Arial"/>
          <w:b/>
          <w:bCs/>
          <w:sz w:val="24"/>
          <w:szCs w:val="24"/>
        </w:rPr>
      </w:pPr>
      <w:r w:rsidRPr="00E255E7">
        <w:rPr>
          <w:rFonts w:ascii="Arial" w:hAnsi="Arial" w:cs="Arial"/>
          <w:b/>
          <w:bCs/>
          <w:sz w:val="24"/>
          <w:szCs w:val="24"/>
        </w:rPr>
        <w:t>Does the DMHC measure according to distance and driving time, or just distance? Some government programs measure both distance and driving time.</w:t>
      </w:r>
    </w:p>
    <w:p w14:paraId="02DE1003" w14:textId="0758D100" w:rsidR="00844A71" w:rsidRPr="005F55F5" w:rsidRDefault="008953CF" w:rsidP="00400B2C">
      <w:pPr>
        <w:spacing w:after="240"/>
        <w:ind w:left="720"/>
        <w:rPr>
          <w:rFonts w:ascii="Arial" w:hAnsi="Arial" w:cs="Arial"/>
          <w:sz w:val="24"/>
          <w:szCs w:val="24"/>
        </w:rPr>
      </w:pPr>
      <w:r w:rsidRPr="005F55F5">
        <w:rPr>
          <w:rFonts w:ascii="Arial" w:hAnsi="Arial" w:cs="Arial"/>
          <w:sz w:val="24"/>
          <w:szCs w:val="24"/>
        </w:rPr>
        <w:t xml:space="preserve">Where the </w:t>
      </w:r>
      <w:r w:rsidR="00A329CD" w:rsidRPr="005F55F5">
        <w:rPr>
          <w:rFonts w:ascii="Arial" w:hAnsi="Arial" w:cs="Arial"/>
          <w:sz w:val="24"/>
          <w:szCs w:val="24"/>
        </w:rPr>
        <w:t xml:space="preserve">DMHC </w:t>
      </w:r>
      <w:r w:rsidRPr="005F55F5">
        <w:rPr>
          <w:rFonts w:ascii="Arial" w:hAnsi="Arial" w:cs="Arial"/>
          <w:sz w:val="24"/>
          <w:szCs w:val="24"/>
        </w:rPr>
        <w:t>standard includes the option for a measurement based on driving time (</w:t>
      </w:r>
      <w:r w:rsidR="00B364FC" w:rsidRPr="005F55F5">
        <w:rPr>
          <w:rFonts w:ascii="Arial" w:hAnsi="Arial" w:cs="Arial"/>
          <w:sz w:val="24"/>
          <w:szCs w:val="24"/>
        </w:rPr>
        <w:t>for example,</w:t>
      </w:r>
      <w:r w:rsidRPr="005F55F5">
        <w:rPr>
          <w:rFonts w:ascii="Arial" w:hAnsi="Arial" w:cs="Arial"/>
          <w:sz w:val="24"/>
          <w:szCs w:val="24"/>
        </w:rPr>
        <w:t xml:space="preserve"> geographic access standards for PCPs and hospitals) plans may refer to the methodology described in the Geographic Access Measurement Methodology for instruction as to the methodology the D</w:t>
      </w:r>
      <w:r w:rsidR="002F0E74" w:rsidRPr="005F55F5">
        <w:rPr>
          <w:rFonts w:ascii="Arial" w:hAnsi="Arial" w:cs="Arial"/>
          <w:sz w:val="24"/>
          <w:szCs w:val="24"/>
        </w:rPr>
        <w:t>MHC</w:t>
      </w:r>
      <w:r w:rsidRPr="005F55F5">
        <w:rPr>
          <w:rFonts w:ascii="Arial" w:hAnsi="Arial" w:cs="Arial"/>
          <w:sz w:val="24"/>
          <w:szCs w:val="24"/>
        </w:rPr>
        <w:t xml:space="preserve"> will apply when measuring drive time.</w:t>
      </w:r>
    </w:p>
    <w:p w14:paraId="183F2A9B" w14:textId="04E6D7FA" w:rsidR="008953CF" w:rsidRPr="005F55F5" w:rsidRDefault="008953CF" w:rsidP="00400B2C">
      <w:pPr>
        <w:spacing w:after="240"/>
        <w:ind w:left="720"/>
        <w:rPr>
          <w:rFonts w:ascii="Arial" w:hAnsi="Arial" w:cs="Arial"/>
          <w:sz w:val="24"/>
          <w:szCs w:val="24"/>
        </w:rPr>
      </w:pPr>
      <w:r w:rsidRPr="005F55F5">
        <w:rPr>
          <w:rFonts w:ascii="Arial" w:hAnsi="Arial" w:cs="Arial"/>
          <w:sz w:val="24"/>
          <w:szCs w:val="24"/>
        </w:rPr>
        <w:t xml:space="preserve">Where the DMHC </w:t>
      </w:r>
      <w:r w:rsidR="002F0E74" w:rsidRPr="005F55F5">
        <w:rPr>
          <w:rFonts w:ascii="Arial" w:hAnsi="Arial" w:cs="Arial"/>
          <w:sz w:val="24"/>
          <w:szCs w:val="24"/>
        </w:rPr>
        <w:t>standard does not include a</w:t>
      </w:r>
      <w:r w:rsidRPr="005F55F5">
        <w:rPr>
          <w:rFonts w:ascii="Arial" w:hAnsi="Arial" w:cs="Arial"/>
          <w:sz w:val="24"/>
          <w:szCs w:val="24"/>
        </w:rPr>
        <w:t xml:space="preserve"> drive time standard (</w:t>
      </w:r>
      <w:r w:rsidR="00B364FC" w:rsidRPr="005F55F5">
        <w:rPr>
          <w:rFonts w:ascii="Arial" w:hAnsi="Arial" w:cs="Arial"/>
          <w:sz w:val="24"/>
          <w:szCs w:val="24"/>
        </w:rPr>
        <w:t xml:space="preserve">for example, </w:t>
      </w:r>
      <w:r w:rsidRPr="005F55F5">
        <w:rPr>
          <w:rFonts w:ascii="Arial" w:hAnsi="Arial" w:cs="Arial"/>
          <w:sz w:val="24"/>
          <w:szCs w:val="24"/>
        </w:rPr>
        <w:t>geographic access standards for mental health professionals and mental health facilities)</w:t>
      </w:r>
      <w:r w:rsidR="0031618F" w:rsidRPr="005F55F5">
        <w:rPr>
          <w:rFonts w:ascii="Arial" w:hAnsi="Arial" w:cs="Arial"/>
          <w:sz w:val="24"/>
          <w:szCs w:val="24"/>
        </w:rPr>
        <w:t>,</w:t>
      </w:r>
      <w:r w:rsidRPr="005F55F5">
        <w:rPr>
          <w:rFonts w:ascii="Arial" w:hAnsi="Arial" w:cs="Arial"/>
          <w:sz w:val="24"/>
          <w:szCs w:val="24"/>
        </w:rPr>
        <w:t xml:space="preserve"> compliance will not be established via driving time, and the </w:t>
      </w:r>
      <w:r w:rsidR="006A4152" w:rsidRPr="005F55F5">
        <w:rPr>
          <w:rFonts w:ascii="Arial" w:hAnsi="Arial" w:cs="Arial"/>
          <w:sz w:val="24"/>
          <w:szCs w:val="24"/>
        </w:rPr>
        <w:t>“</w:t>
      </w:r>
      <w:r w:rsidRPr="005F55F5">
        <w:rPr>
          <w:rFonts w:ascii="Arial" w:hAnsi="Arial" w:cs="Arial"/>
          <w:sz w:val="24"/>
          <w:szCs w:val="24"/>
        </w:rPr>
        <w:t>expected driving time</w:t>
      </w:r>
      <w:r w:rsidR="006A4152" w:rsidRPr="005F55F5">
        <w:rPr>
          <w:rFonts w:ascii="Arial" w:hAnsi="Arial" w:cs="Arial"/>
          <w:sz w:val="24"/>
          <w:szCs w:val="24"/>
        </w:rPr>
        <w:t>”</w:t>
      </w:r>
      <w:r w:rsidRPr="005F55F5">
        <w:rPr>
          <w:rFonts w:ascii="Arial" w:hAnsi="Arial" w:cs="Arial"/>
          <w:sz w:val="24"/>
          <w:szCs w:val="24"/>
        </w:rPr>
        <w:t xml:space="preserve"> methodology is not applicable. The</w:t>
      </w:r>
      <w:r w:rsidR="00AD600D" w:rsidRPr="005F55F5">
        <w:rPr>
          <w:rFonts w:ascii="Arial" w:hAnsi="Arial" w:cs="Arial"/>
          <w:sz w:val="24"/>
          <w:szCs w:val="24"/>
        </w:rPr>
        <w:t xml:space="preserve"> Mental Health Geographic </w:t>
      </w:r>
      <w:r w:rsidR="00890EB1" w:rsidRPr="005F55F5">
        <w:rPr>
          <w:rFonts w:ascii="Arial" w:hAnsi="Arial" w:cs="Arial"/>
          <w:sz w:val="24"/>
          <w:szCs w:val="24"/>
        </w:rPr>
        <w:t>Access Standards and Methodology</w:t>
      </w:r>
      <w:r w:rsidRPr="005F55F5">
        <w:rPr>
          <w:rFonts w:ascii="Arial" w:hAnsi="Arial" w:cs="Arial"/>
          <w:sz w:val="24"/>
          <w:szCs w:val="24"/>
        </w:rPr>
        <w:t xml:space="preserve"> </w:t>
      </w:r>
      <w:r w:rsidR="00890EB1" w:rsidRPr="005F55F5">
        <w:rPr>
          <w:rFonts w:ascii="Arial" w:hAnsi="Arial" w:cs="Arial"/>
          <w:sz w:val="24"/>
          <w:szCs w:val="24"/>
        </w:rPr>
        <w:t>measures</w:t>
      </w:r>
      <w:r w:rsidRPr="005F55F5">
        <w:rPr>
          <w:rFonts w:ascii="Arial" w:hAnsi="Arial" w:cs="Arial"/>
          <w:sz w:val="24"/>
          <w:szCs w:val="24"/>
        </w:rPr>
        <w:t xml:space="preserve"> driving distance</w:t>
      </w:r>
      <w:r w:rsidR="00821E63" w:rsidRPr="005F55F5">
        <w:rPr>
          <w:rFonts w:ascii="Arial" w:hAnsi="Arial" w:cs="Arial"/>
          <w:sz w:val="24"/>
          <w:szCs w:val="24"/>
        </w:rPr>
        <w:t xml:space="preserve"> to promote consistency across plans and driving conditions</w:t>
      </w:r>
      <w:r w:rsidRPr="005F55F5">
        <w:rPr>
          <w:rFonts w:ascii="Arial" w:hAnsi="Arial" w:cs="Arial"/>
          <w:sz w:val="24"/>
          <w:szCs w:val="24"/>
        </w:rPr>
        <w:t>.</w:t>
      </w:r>
    </w:p>
    <w:p w14:paraId="4C9C3A57" w14:textId="7D19F273" w:rsidR="00F55FED" w:rsidRPr="005A4947" w:rsidRDefault="008953CF" w:rsidP="00B94576">
      <w:pPr>
        <w:spacing w:after="600"/>
        <w:ind w:left="720"/>
        <w:rPr>
          <w:rFonts w:ascii="Arial" w:hAnsi="Arial" w:cs="Arial"/>
          <w:sz w:val="24"/>
          <w:szCs w:val="24"/>
        </w:rPr>
      </w:pPr>
      <w:r w:rsidRPr="005F55F5">
        <w:rPr>
          <w:rFonts w:ascii="Arial" w:hAnsi="Arial" w:cs="Arial"/>
          <w:sz w:val="24"/>
          <w:szCs w:val="24"/>
        </w:rPr>
        <w:t xml:space="preserve">The </w:t>
      </w:r>
      <w:r w:rsidR="005303A5" w:rsidRPr="005F55F5">
        <w:rPr>
          <w:rFonts w:ascii="Arial" w:hAnsi="Arial" w:cs="Arial"/>
          <w:sz w:val="24"/>
          <w:szCs w:val="24"/>
        </w:rPr>
        <w:t>DMHC</w:t>
      </w:r>
      <w:r w:rsidRPr="005F55F5">
        <w:rPr>
          <w:rFonts w:ascii="Arial" w:hAnsi="Arial" w:cs="Arial"/>
          <w:sz w:val="24"/>
          <w:szCs w:val="24"/>
        </w:rPr>
        <w:t xml:space="preserve"> has not adopted the geographic access standards established by another state or federal agency. The DMHC coordinates with the Department of Health Care Services to provide maximum consistency in the geographic access review process. However, there may be some inconsistency in the methodology for review based on program requirements and differences in governing laws and regulations.</w:t>
      </w:r>
    </w:p>
    <w:p w14:paraId="5AA61BED" w14:textId="03263464" w:rsidR="001960C8" w:rsidRPr="00E255E7" w:rsidRDefault="001960C8" w:rsidP="00400B2C">
      <w:pPr>
        <w:pStyle w:val="ListParagraph"/>
        <w:numPr>
          <w:ilvl w:val="0"/>
          <w:numId w:val="12"/>
        </w:numPr>
        <w:spacing w:after="240"/>
        <w:contextualSpacing w:val="0"/>
        <w:rPr>
          <w:rFonts w:ascii="Arial" w:hAnsi="Arial" w:cs="Arial"/>
          <w:b/>
          <w:bCs/>
          <w:sz w:val="24"/>
          <w:szCs w:val="24"/>
        </w:rPr>
      </w:pPr>
      <w:r w:rsidRPr="00E255E7">
        <w:rPr>
          <w:rFonts w:ascii="Arial" w:hAnsi="Arial" w:cs="Arial"/>
          <w:b/>
          <w:bCs/>
          <w:sz w:val="24"/>
          <w:szCs w:val="24"/>
        </w:rPr>
        <w:t>The Geographic Access Measurement Methodology indicates that when the counties and ZIP Codes within a plan</w:t>
      </w:r>
      <w:r w:rsidR="00DC72D3" w:rsidRPr="00E255E7">
        <w:rPr>
          <w:rFonts w:ascii="Arial" w:hAnsi="Arial" w:cs="Arial"/>
          <w:b/>
          <w:bCs/>
          <w:sz w:val="24"/>
          <w:szCs w:val="24"/>
        </w:rPr>
        <w:t>’</w:t>
      </w:r>
      <w:r w:rsidRPr="00E255E7">
        <w:rPr>
          <w:rFonts w:ascii="Arial" w:hAnsi="Arial" w:cs="Arial"/>
          <w:b/>
          <w:bCs/>
          <w:sz w:val="24"/>
          <w:szCs w:val="24"/>
        </w:rPr>
        <w:t xml:space="preserve">s approved network service area are not reflected on the DMHC’s standardized list because they are outdated or otherwise not comparable, the DMHC may require plans to reconcile the CountyZIPs listed in the network service area on file with the </w:t>
      </w:r>
      <w:r w:rsidR="005D37F6" w:rsidRPr="00E255E7">
        <w:rPr>
          <w:rFonts w:ascii="Arial" w:hAnsi="Arial" w:cs="Arial"/>
          <w:b/>
          <w:bCs/>
          <w:sz w:val="24"/>
          <w:szCs w:val="24"/>
        </w:rPr>
        <w:t xml:space="preserve">DMHC </w:t>
      </w:r>
      <w:r w:rsidRPr="00E255E7">
        <w:rPr>
          <w:rFonts w:ascii="Arial" w:hAnsi="Arial" w:cs="Arial"/>
          <w:b/>
          <w:bCs/>
          <w:sz w:val="24"/>
          <w:szCs w:val="24"/>
        </w:rPr>
        <w:t>through a filing pursuant to Health and Safety Code section 1352. When will a plan be notified and how long will the plan have before it must file?</w:t>
      </w:r>
    </w:p>
    <w:p w14:paraId="70B0EBE9" w14:textId="5F31AC00" w:rsidR="00515C1D" w:rsidRPr="005F55F5" w:rsidRDefault="00907839" w:rsidP="0005509D">
      <w:pPr>
        <w:spacing w:after="600"/>
        <w:ind w:left="720"/>
        <w:rPr>
          <w:rFonts w:ascii="Arial" w:hAnsi="Arial" w:cs="Arial"/>
          <w:sz w:val="24"/>
          <w:szCs w:val="24"/>
        </w:rPr>
      </w:pPr>
      <w:r w:rsidRPr="005F55F5">
        <w:rPr>
          <w:rFonts w:ascii="Arial" w:hAnsi="Arial" w:cs="Arial"/>
          <w:sz w:val="24"/>
          <w:szCs w:val="24"/>
        </w:rPr>
        <w:t xml:space="preserve">Pursuant to DMHC APL 23-005, </w:t>
      </w:r>
      <w:r w:rsidR="009C6499" w:rsidRPr="005F55F5">
        <w:rPr>
          <w:rFonts w:ascii="Arial" w:hAnsi="Arial" w:cs="Arial"/>
          <w:sz w:val="24"/>
          <w:szCs w:val="24"/>
        </w:rPr>
        <w:t>“</w:t>
      </w:r>
      <w:r w:rsidRPr="005F55F5">
        <w:rPr>
          <w:rFonts w:ascii="Arial" w:hAnsi="Arial" w:cs="Arial"/>
          <w:sz w:val="24"/>
          <w:szCs w:val="24"/>
        </w:rPr>
        <w:t>Network Service Area Confirmation Process</w:t>
      </w:r>
      <w:r w:rsidR="009C6499" w:rsidRPr="005F55F5">
        <w:rPr>
          <w:rFonts w:ascii="Arial" w:hAnsi="Arial" w:cs="Arial"/>
          <w:sz w:val="24"/>
          <w:szCs w:val="24"/>
        </w:rPr>
        <w:t>”</w:t>
      </w:r>
      <w:r w:rsidRPr="005F55F5">
        <w:rPr>
          <w:rFonts w:ascii="Arial" w:hAnsi="Arial" w:cs="Arial"/>
          <w:sz w:val="24"/>
          <w:szCs w:val="24"/>
        </w:rPr>
        <w:t xml:space="preserve"> (February 13, 2023), reporting plans have been provided an opportunity to update their network service areas consistent with the definition of Network Service Area and to conform to the ZIP Code and County list published by the </w:t>
      </w:r>
      <w:r w:rsidR="00DD4BEC" w:rsidRPr="005F55F5">
        <w:rPr>
          <w:rFonts w:ascii="Arial" w:hAnsi="Arial" w:cs="Arial"/>
          <w:sz w:val="24"/>
          <w:szCs w:val="24"/>
        </w:rPr>
        <w:lastRenderedPageBreak/>
        <w:t>DMHC</w:t>
      </w:r>
      <w:r w:rsidRPr="005F55F5">
        <w:rPr>
          <w:rFonts w:ascii="Arial" w:hAnsi="Arial" w:cs="Arial"/>
          <w:sz w:val="24"/>
          <w:szCs w:val="24"/>
        </w:rPr>
        <w:t>, as a result of the recent amendments to Rule 1300.67.2.2. A similar process will be established for profile-only plans at a later date. In future reporting years, the D</w:t>
      </w:r>
      <w:r w:rsidR="005F4220" w:rsidRPr="005F55F5">
        <w:rPr>
          <w:rFonts w:ascii="Arial" w:hAnsi="Arial" w:cs="Arial"/>
          <w:sz w:val="24"/>
          <w:szCs w:val="24"/>
        </w:rPr>
        <w:t xml:space="preserve">MHC </w:t>
      </w:r>
      <w:r w:rsidRPr="005F55F5">
        <w:rPr>
          <w:rFonts w:ascii="Arial" w:hAnsi="Arial" w:cs="Arial"/>
          <w:sz w:val="24"/>
          <w:szCs w:val="24"/>
        </w:rPr>
        <w:t xml:space="preserve">will </w:t>
      </w:r>
      <w:r w:rsidR="00D25DBF" w:rsidRPr="005F55F5">
        <w:rPr>
          <w:rFonts w:ascii="Arial" w:hAnsi="Arial" w:cs="Arial"/>
          <w:sz w:val="24"/>
          <w:szCs w:val="24"/>
        </w:rPr>
        <w:t>inform</w:t>
      </w:r>
      <w:r w:rsidRPr="005F55F5">
        <w:rPr>
          <w:rFonts w:ascii="Arial" w:hAnsi="Arial" w:cs="Arial"/>
          <w:sz w:val="24"/>
          <w:szCs w:val="24"/>
        </w:rPr>
        <w:t xml:space="preserve"> plans of ZIP Code and County changes implemented by USPS. </w:t>
      </w:r>
      <w:r w:rsidR="00245375" w:rsidRPr="005F55F5">
        <w:rPr>
          <w:rFonts w:ascii="Arial" w:hAnsi="Arial" w:cs="Arial"/>
          <w:sz w:val="24"/>
          <w:szCs w:val="24"/>
        </w:rPr>
        <w:t>P</w:t>
      </w:r>
      <w:r w:rsidRPr="005F55F5">
        <w:rPr>
          <w:rFonts w:ascii="Arial" w:hAnsi="Arial" w:cs="Arial"/>
          <w:sz w:val="24"/>
          <w:szCs w:val="24"/>
        </w:rPr>
        <w:t>lans are responsible for reviewing changes to the ZIP Code and County list published by the D</w:t>
      </w:r>
      <w:r w:rsidR="005F4220" w:rsidRPr="005F55F5">
        <w:rPr>
          <w:rFonts w:ascii="Arial" w:hAnsi="Arial" w:cs="Arial"/>
          <w:sz w:val="24"/>
          <w:szCs w:val="24"/>
        </w:rPr>
        <w:t>MHC</w:t>
      </w:r>
      <w:r w:rsidRPr="005F55F5">
        <w:rPr>
          <w:rFonts w:ascii="Arial" w:hAnsi="Arial" w:cs="Arial"/>
          <w:sz w:val="24"/>
          <w:szCs w:val="24"/>
        </w:rPr>
        <w:t xml:space="preserve"> and ensuring the description of the plan</w:t>
      </w:r>
      <w:r w:rsidR="0094759D" w:rsidRPr="005F55F5">
        <w:rPr>
          <w:rFonts w:ascii="Arial" w:hAnsi="Arial" w:cs="Arial"/>
          <w:sz w:val="24"/>
          <w:szCs w:val="24"/>
        </w:rPr>
        <w:t>’</w:t>
      </w:r>
      <w:r w:rsidRPr="005F55F5">
        <w:rPr>
          <w:rFonts w:ascii="Arial" w:hAnsi="Arial" w:cs="Arial"/>
          <w:sz w:val="24"/>
          <w:szCs w:val="24"/>
        </w:rPr>
        <w:t xml:space="preserve">s </w:t>
      </w:r>
      <w:r w:rsidR="00FE0E6B" w:rsidRPr="005F55F5">
        <w:rPr>
          <w:rFonts w:ascii="Arial" w:hAnsi="Arial" w:cs="Arial"/>
          <w:sz w:val="24"/>
          <w:szCs w:val="24"/>
        </w:rPr>
        <w:t xml:space="preserve">network </w:t>
      </w:r>
      <w:r w:rsidRPr="005F55F5">
        <w:rPr>
          <w:rFonts w:ascii="Arial" w:hAnsi="Arial" w:cs="Arial"/>
          <w:sz w:val="24"/>
          <w:szCs w:val="24"/>
        </w:rPr>
        <w:t>service area</w:t>
      </w:r>
      <w:r w:rsidR="007B5B3B" w:rsidRPr="005F55F5">
        <w:rPr>
          <w:rFonts w:ascii="Arial" w:hAnsi="Arial" w:cs="Arial"/>
          <w:sz w:val="24"/>
          <w:szCs w:val="24"/>
        </w:rPr>
        <w:t>(</w:t>
      </w:r>
      <w:r w:rsidRPr="005F55F5">
        <w:rPr>
          <w:rFonts w:ascii="Arial" w:hAnsi="Arial" w:cs="Arial"/>
          <w:sz w:val="24"/>
          <w:szCs w:val="24"/>
        </w:rPr>
        <w:t>s</w:t>
      </w:r>
      <w:r w:rsidR="007B5B3B" w:rsidRPr="005F55F5">
        <w:rPr>
          <w:rFonts w:ascii="Arial" w:hAnsi="Arial" w:cs="Arial"/>
          <w:sz w:val="24"/>
          <w:szCs w:val="24"/>
        </w:rPr>
        <w:t>)</w:t>
      </w:r>
      <w:r w:rsidRPr="005F55F5">
        <w:rPr>
          <w:rFonts w:ascii="Arial" w:hAnsi="Arial" w:cs="Arial"/>
          <w:sz w:val="24"/>
          <w:szCs w:val="24"/>
        </w:rPr>
        <w:t xml:space="preserve"> on file with the D</w:t>
      </w:r>
      <w:r w:rsidR="005F4220" w:rsidRPr="005F55F5">
        <w:rPr>
          <w:rFonts w:ascii="Arial" w:hAnsi="Arial" w:cs="Arial"/>
          <w:sz w:val="24"/>
          <w:szCs w:val="24"/>
        </w:rPr>
        <w:t>MHC</w:t>
      </w:r>
      <w:r w:rsidRPr="005F55F5">
        <w:rPr>
          <w:rFonts w:ascii="Arial" w:hAnsi="Arial" w:cs="Arial"/>
          <w:sz w:val="24"/>
          <w:szCs w:val="24"/>
        </w:rPr>
        <w:t xml:space="preserve"> is current.</w:t>
      </w:r>
    </w:p>
    <w:p w14:paraId="2D953231" w14:textId="4F1022D8" w:rsidR="00451D9B" w:rsidRPr="00E255E7" w:rsidRDefault="00451D9B" w:rsidP="00EE7888">
      <w:pPr>
        <w:pStyle w:val="ListParagraph"/>
        <w:numPr>
          <w:ilvl w:val="0"/>
          <w:numId w:val="12"/>
        </w:numPr>
        <w:spacing w:after="240"/>
        <w:contextualSpacing w:val="0"/>
        <w:rPr>
          <w:rFonts w:ascii="Arial" w:hAnsi="Arial" w:cs="Arial"/>
          <w:b/>
          <w:bCs/>
          <w:sz w:val="24"/>
          <w:szCs w:val="24"/>
        </w:rPr>
      </w:pPr>
      <w:r w:rsidRPr="00E255E7">
        <w:rPr>
          <w:rFonts w:ascii="Arial" w:hAnsi="Arial" w:cs="Arial"/>
          <w:b/>
          <w:bCs/>
          <w:sz w:val="24"/>
          <w:szCs w:val="24"/>
        </w:rPr>
        <w:t>The Geographic Access Measurement Methodology indicates that plans may be required to re-file a past request for alternative standards of accessibility for PCPs and hospitals if the plan no longer meets the previous alternative standard when measured according to the DMHC</w:t>
      </w:r>
      <w:r w:rsidR="00B241F8" w:rsidRPr="00E255E7">
        <w:rPr>
          <w:rFonts w:ascii="Arial" w:hAnsi="Arial" w:cs="Arial"/>
          <w:b/>
          <w:bCs/>
          <w:sz w:val="24"/>
          <w:szCs w:val="24"/>
        </w:rPr>
        <w:t>’</w:t>
      </w:r>
      <w:r w:rsidRPr="00E255E7">
        <w:rPr>
          <w:rFonts w:ascii="Arial" w:hAnsi="Arial" w:cs="Arial"/>
          <w:b/>
          <w:bCs/>
          <w:sz w:val="24"/>
          <w:szCs w:val="24"/>
        </w:rPr>
        <w:t>s standardized lists for ZIP Codes, counties</w:t>
      </w:r>
      <w:r w:rsidR="00E61EA6" w:rsidRPr="00E255E7">
        <w:rPr>
          <w:rFonts w:ascii="Arial" w:hAnsi="Arial" w:cs="Arial"/>
          <w:b/>
          <w:bCs/>
          <w:sz w:val="24"/>
          <w:szCs w:val="24"/>
        </w:rPr>
        <w:t>,</w:t>
      </w:r>
      <w:r w:rsidRPr="00E255E7">
        <w:rPr>
          <w:rFonts w:ascii="Arial" w:hAnsi="Arial" w:cs="Arial"/>
          <w:b/>
          <w:bCs/>
          <w:sz w:val="24"/>
          <w:szCs w:val="24"/>
        </w:rPr>
        <w:t xml:space="preserve"> and population points. How will plans be notified if they have to re-file for alternative standards of accessibility?</w:t>
      </w:r>
    </w:p>
    <w:p w14:paraId="1B563B6C" w14:textId="73DEFC16" w:rsidR="00B807BD" w:rsidRPr="005F55F5" w:rsidRDefault="0094476F" w:rsidP="0005509D">
      <w:pPr>
        <w:spacing w:after="600"/>
        <w:ind w:left="720"/>
        <w:rPr>
          <w:rFonts w:ascii="Arial" w:hAnsi="Arial" w:cs="Arial"/>
          <w:sz w:val="24"/>
          <w:szCs w:val="24"/>
        </w:rPr>
      </w:pPr>
      <w:r w:rsidRPr="005F55F5">
        <w:rPr>
          <w:rFonts w:ascii="Arial" w:hAnsi="Arial" w:cs="Arial"/>
          <w:sz w:val="24"/>
          <w:szCs w:val="24"/>
        </w:rPr>
        <w:t xml:space="preserve">The DMHC evaluates reporting plans for geographic access to PCPs and hospitals as part of the Annual Network Review and evaluates </w:t>
      </w:r>
      <w:r w:rsidR="00A83EF0" w:rsidRPr="005F55F5">
        <w:rPr>
          <w:rFonts w:ascii="Arial" w:hAnsi="Arial" w:cs="Arial"/>
          <w:sz w:val="24"/>
          <w:szCs w:val="24"/>
        </w:rPr>
        <w:t>a plan’s</w:t>
      </w:r>
      <w:r w:rsidRPr="005F55F5">
        <w:rPr>
          <w:rFonts w:ascii="Arial" w:hAnsi="Arial" w:cs="Arial"/>
          <w:sz w:val="24"/>
          <w:szCs w:val="24"/>
        </w:rPr>
        <w:t xml:space="preserve"> existing alternative access standards as part of this review. </w:t>
      </w:r>
      <w:r w:rsidR="0053523C" w:rsidRPr="005F55F5">
        <w:rPr>
          <w:rFonts w:ascii="Arial" w:hAnsi="Arial" w:cs="Arial"/>
          <w:sz w:val="24"/>
          <w:szCs w:val="24"/>
        </w:rPr>
        <w:t xml:space="preserve">For </w:t>
      </w:r>
      <w:r w:rsidR="004479E7" w:rsidRPr="005F55F5">
        <w:rPr>
          <w:rFonts w:ascii="Arial" w:hAnsi="Arial" w:cs="Arial"/>
          <w:sz w:val="24"/>
          <w:szCs w:val="24"/>
        </w:rPr>
        <w:t xml:space="preserve">plans subject to annual network reporting, the </w:t>
      </w:r>
      <w:r w:rsidRPr="005F55F5">
        <w:rPr>
          <w:rFonts w:ascii="Arial" w:hAnsi="Arial" w:cs="Arial"/>
          <w:sz w:val="24"/>
          <w:szCs w:val="24"/>
        </w:rPr>
        <w:t xml:space="preserve">DMHC will identify whether </w:t>
      </w:r>
      <w:r w:rsidR="0053523C" w:rsidRPr="005F55F5">
        <w:rPr>
          <w:rFonts w:ascii="Arial" w:hAnsi="Arial" w:cs="Arial"/>
          <w:sz w:val="24"/>
          <w:szCs w:val="24"/>
        </w:rPr>
        <w:t xml:space="preserve">a </w:t>
      </w:r>
      <w:r w:rsidRPr="005F55F5">
        <w:rPr>
          <w:rFonts w:ascii="Arial" w:hAnsi="Arial" w:cs="Arial"/>
          <w:sz w:val="24"/>
          <w:szCs w:val="24"/>
        </w:rPr>
        <w:t>plan</w:t>
      </w:r>
      <w:r w:rsidR="004479E7" w:rsidRPr="005F55F5">
        <w:rPr>
          <w:rFonts w:ascii="Arial" w:hAnsi="Arial" w:cs="Arial"/>
          <w:sz w:val="24"/>
          <w:szCs w:val="24"/>
        </w:rPr>
        <w:t>’</w:t>
      </w:r>
      <w:r w:rsidRPr="005F55F5">
        <w:rPr>
          <w:rFonts w:ascii="Arial" w:hAnsi="Arial" w:cs="Arial"/>
          <w:sz w:val="24"/>
          <w:szCs w:val="24"/>
        </w:rPr>
        <w:t>s existing alternative access standards are inadequate using the standardized ZIP Code, County</w:t>
      </w:r>
      <w:r w:rsidR="00AE654E" w:rsidRPr="005F55F5">
        <w:rPr>
          <w:rFonts w:ascii="Arial" w:hAnsi="Arial" w:cs="Arial"/>
          <w:sz w:val="24"/>
          <w:szCs w:val="24"/>
        </w:rPr>
        <w:t>,</w:t>
      </w:r>
      <w:r w:rsidRPr="005F55F5">
        <w:rPr>
          <w:rFonts w:ascii="Arial" w:hAnsi="Arial" w:cs="Arial"/>
          <w:sz w:val="24"/>
          <w:szCs w:val="24"/>
        </w:rPr>
        <w:t xml:space="preserve"> and Population Points as set forth in Rule 1300.67.2.2 (as amended). Plans will then have an opportunity to file for updated alternative access standards to address any compliance concerns the plan has not already identified through internal network monitoring.</w:t>
      </w:r>
    </w:p>
    <w:p w14:paraId="186B4B49" w14:textId="7096306C" w:rsidR="00995A2B" w:rsidRPr="00320D42" w:rsidRDefault="008D1B4D" w:rsidP="00EE7888">
      <w:pPr>
        <w:pStyle w:val="AccessibleHeader"/>
        <w:spacing w:before="0"/>
        <w:rPr>
          <w:b w:val="0"/>
        </w:rPr>
      </w:pPr>
      <w:r>
        <w:t xml:space="preserve">Counseling Non-Physician </w:t>
      </w:r>
      <w:r w:rsidR="00FD5AD5">
        <w:t xml:space="preserve">Mental Health Professional </w:t>
      </w:r>
      <w:r w:rsidR="00995A2B" w:rsidRPr="00FD5AD5">
        <w:t>Ratio</w:t>
      </w:r>
      <w:r w:rsidR="001575F1" w:rsidRPr="00FD5AD5">
        <w:t xml:space="preserve"> </w:t>
      </w:r>
      <w:r>
        <w:t>Standards and Methodology</w:t>
      </w:r>
      <w:r w:rsidR="001575F1" w:rsidRPr="00FD5AD5">
        <w:t xml:space="preserve"> FAQ</w:t>
      </w:r>
      <w:r w:rsidR="00320D42">
        <w:t xml:space="preserve"> Responses</w:t>
      </w:r>
      <w:r w:rsidR="009A3C2F">
        <w:t>:</w:t>
      </w:r>
    </w:p>
    <w:p w14:paraId="71B8250F" w14:textId="15D138F6" w:rsidR="00304DCB" w:rsidRPr="00E255E7" w:rsidRDefault="00304DCB" w:rsidP="00EE7888">
      <w:pPr>
        <w:pStyle w:val="ListParagraph"/>
        <w:numPr>
          <w:ilvl w:val="0"/>
          <w:numId w:val="13"/>
        </w:numPr>
        <w:spacing w:after="240"/>
        <w:contextualSpacing w:val="0"/>
        <w:rPr>
          <w:rFonts w:ascii="Arial" w:hAnsi="Arial" w:cs="Arial"/>
          <w:b/>
          <w:bCs/>
          <w:sz w:val="24"/>
          <w:szCs w:val="24"/>
        </w:rPr>
      </w:pPr>
      <w:r w:rsidRPr="00E255E7">
        <w:rPr>
          <w:rFonts w:ascii="Arial" w:hAnsi="Arial" w:cs="Arial"/>
          <w:b/>
          <w:bCs/>
          <w:sz w:val="24"/>
          <w:szCs w:val="24"/>
        </w:rPr>
        <w:t>What is the DMHC’s rationale for setting a ratio of 1 FTE Counseling MHP to 1000 enrollees? Is this ratio achievable for plans in California given the availability of providers within the state?</w:t>
      </w:r>
    </w:p>
    <w:p w14:paraId="4072B4D9" w14:textId="1630B25D" w:rsidR="00304DCB" w:rsidRPr="00EA2149" w:rsidRDefault="00304DCB" w:rsidP="000049AA">
      <w:pPr>
        <w:spacing w:after="600"/>
        <w:ind w:left="720"/>
        <w:rPr>
          <w:rFonts w:ascii="Arial" w:hAnsi="Arial" w:cs="Arial"/>
          <w:sz w:val="24"/>
          <w:szCs w:val="24"/>
        </w:rPr>
      </w:pPr>
      <w:r w:rsidRPr="00EA2149">
        <w:rPr>
          <w:rFonts w:ascii="Arial" w:hAnsi="Arial" w:cs="Arial"/>
          <w:sz w:val="24"/>
          <w:szCs w:val="24"/>
        </w:rPr>
        <w:t xml:space="preserve">The 1:1000 ratio was set as the appropriate threshold based on a review of research related to mental health workforce trends, mental health utilization, and data submitted to the DMHC related to the number of mental health providers available from all plans, the location of those providers, and the number and location of enrollees throughout the state. The DMHC engaged statistical consultation to derive a ratio that adequately reflects the need for mental health services in the state and the actual availability of Counseling MHPs within the </w:t>
      </w:r>
      <w:r w:rsidRPr="00EA2149">
        <w:rPr>
          <w:rFonts w:ascii="Arial" w:hAnsi="Arial" w:cs="Arial"/>
          <w:sz w:val="24"/>
          <w:szCs w:val="24"/>
        </w:rPr>
        <w:lastRenderedPageBreak/>
        <w:t>state. To address concerns about provider availability in certain regions within the state and other factors that impact the way patients access care, the DMHC has incorporated adjustments that can be applied to the full-time equivalency of network providers. Based on an analysis of annual network submissions from past years, the DMHC has a high degree of confidence that the 1:1000 ratio is achievable for plan networks, either currently or with reasonable corrective action.</w:t>
      </w:r>
    </w:p>
    <w:p w14:paraId="3240DB54" w14:textId="74F31660" w:rsidR="00382804" w:rsidRPr="00E255E7" w:rsidRDefault="00382804" w:rsidP="00EE7888">
      <w:pPr>
        <w:pStyle w:val="ListParagraph"/>
        <w:numPr>
          <w:ilvl w:val="0"/>
          <w:numId w:val="13"/>
        </w:numPr>
        <w:spacing w:after="240"/>
        <w:contextualSpacing w:val="0"/>
        <w:rPr>
          <w:rFonts w:ascii="Arial" w:hAnsi="Arial" w:cs="Arial"/>
          <w:b/>
          <w:bCs/>
          <w:sz w:val="24"/>
          <w:szCs w:val="24"/>
        </w:rPr>
      </w:pPr>
      <w:r w:rsidRPr="00E255E7">
        <w:rPr>
          <w:rFonts w:ascii="Arial" w:hAnsi="Arial" w:cs="Arial"/>
          <w:b/>
          <w:bCs/>
          <w:sz w:val="24"/>
          <w:szCs w:val="24"/>
        </w:rPr>
        <w:t>When the DMHC reviews plan networks according to the Counseling Non-Physician MHP Ratio Standards and Methodology for RY 2024, how will the DMHC apply the ratios and alternative standards, including for high enrollment counties, exclusive providers and combined counties? Will the DMHC factor in any other plan data or just use data from the plan that reported the data?</w:t>
      </w:r>
    </w:p>
    <w:p w14:paraId="7D2AEE45" w14:textId="4FF8229B" w:rsidR="00382804" w:rsidRPr="00EA2149" w:rsidRDefault="00382804" w:rsidP="00465FE7">
      <w:pPr>
        <w:spacing w:after="240"/>
        <w:ind w:left="720"/>
        <w:rPr>
          <w:rFonts w:ascii="Arial" w:hAnsi="Arial" w:cs="Arial"/>
          <w:sz w:val="24"/>
          <w:szCs w:val="24"/>
        </w:rPr>
      </w:pPr>
      <w:r w:rsidRPr="00EA2149">
        <w:rPr>
          <w:rFonts w:ascii="Arial" w:hAnsi="Arial" w:cs="Arial"/>
          <w:sz w:val="24"/>
          <w:szCs w:val="24"/>
        </w:rPr>
        <w:t>The review methodology set forth in the Counseling Non-Physician MHP Ratio Standards and Methodology reflects the methodology the DMHC will apply when evaluating networks submitted as part of the Annual Network Report submission for compliance with the Knox-Keene Act, as required pursuant to Section 1367.035(d). Plans will not be required to apply this methodology independently until future years. The DMHC will apply any ratio modifiers or alternative methodologies that may be applicable when undertaking its evaluation of the network and will issue findings to plans when the established ratio for counseling non-physician mental health professionals is not met after undergoing this analysis. It is not necessary for a plan to request application of an alternative review methodology in order for it to be applied by the DMHC. In future years, when plans will be required to conduct this analysis independently, the DMHC will issue tools to assist plans in assigning the appropriate value to providers.</w:t>
      </w:r>
    </w:p>
    <w:p w14:paraId="7303B537" w14:textId="103F1F47" w:rsidR="00382804" w:rsidRPr="00EA2149" w:rsidRDefault="00382804" w:rsidP="00465FE7">
      <w:pPr>
        <w:spacing w:after="240"/>
        <w:ind w:left="720"/>
        <w:rPr>
          <w:rFonts w:ascii="Arial" w:hAnsi="Arial" w:cs="Arial"/>
          <w:sz w:val="24"/>
          <w:szCs w:val="24"/>
        </w:rPr>
      </w:pPr>
      <w:r w:rsidRPr="00EA2149">
        <w:rPr>
          <w:rFonts w:ascii="Arial" w:hAnsi="Arial" w:cs="Arial"/>
          <w:sz w:val="24"/>
          <w:szCs w:val="24"/>
        </w:rPr>
        <w:t>Plans will continue to be obligated to submit their complete networks for review in the Annual Network Report submission. To the extent plans choose to take steps to prepare for the DMHC’s network adequacy analysis, they are put on notice the methodology contained within the Counseling Non-Physician MHP Ratio Standards and Methodology is the method by which the DMHC will evaluate their networks for compliance.</w:t>
      </w:r>
    </w:p>
    <w:p w14:paraId="704BEB66" w14:textId="77777777" w:rsidR="00382804" w:rsidRPr="00EA2149" w:rsidRDefault="00382804" w:rsidP="00EC78A1">
      <w:pPr>
        <w:spacing w:after="600"/>
        <w:ind w:left="720"/>
        <w:rPr>
          <w:rFonts w:ascii="Arial" w:hAnsi="Arial" w:cs="Arial"/>
          <w:sz w:val="24"/>
          <w:szCs w:val="24"/>
        </w:rPr>
      </w:pPr>
      <w:r w:rsidRPr="00EA2149">
        <w:rPr>
          <w:rFonts w:ascii="Arial" w:hAnsi="Arial" w:cs="Arial"/>
          <w:sz w:val="24"/>
          <w:szCs w:val="24"/>
        </w:rPr>
        <w:t xml:space="preserve">The DMHC will rely on the data submitted by the plan in the Annual Network Report for its evaluation of Counseling MHP network capacity. The DMHC will issue findings to plans that do not meet the standards or alternative standards </w:t>
      </w:r>
      <w:r w:rsidRPr="00EA2149">
        <w:rPr>
          <w:rFonts w:ascii="Arial" w:hAnsi="Arial" w:cs="Arial"/>
          <w:sz w:val="24"/>
          <w:szCs w:val="24"/>
        </w:rPr>
        <w:lastRenderedPageBreak/>
        <w:t>set forth in the Counseling Non-Physician Mental Health Professional Ratio Standards and Methodology, arising out of the Annual Network Review.</w:t>
      </w:r>
    </w:p>
    <w:p w14:paraId="0C8945F6" w14:textId="7027A6BC" w:rsidR="00300B5A" w:rsidRPr="00E255E7" w:rsidRDefault="00300B5A" w:rsidP="007609BB">
      <w:pPr>
        <w:pStyle w:val="ListParagraph"/>
        <w:numPr>
          <w:ilvl w:val="0"/>
          <w:numId w:val="13"/>
        </w:numPr>
        <w:spacing w:after="240"/>
        <w:contextualSpacing w:val="0"/>
        <w:rPr>
          <w:rFonts w:ascii="Arial" w:hAnsi="Arial" w:cs="Arial"/>
          <w:b/>
          <w:bCs/>
          <w:sz w:val="24"/>
          <w:szCs w:val="24"/>
        </w:rPr>
      </w:pPr>
      <w:r w:rsidRPr="00E255E7">
        <w:rPr>
          <w:rFonts w:ascii="Arial" w:hAnsi="Arial" w:cs="Arial"/>
          <w:b/>
          <w:bCs/>
          <w:sz w:val="24"/>
          <w:szCs w:val="24"/>
        </w:rPr>
        <w:t xml:space="preserve">When measuring full-time equivalent or “FTE” as part of the DMHC’s Counseling Non-Physician Mental Health Professional Ratio Standards and Methodology, does the FTE starting value methodology consider provider participation in other </w:t>
      </w:r>
      <w:r w:rsidR="00F935B2" w:rsidRPr="00E255E7">
        <w:rPr>
          <w:rFonts w:ascii="Arial" w:hAnsi="Arial" w:cs="Arial"/>
          <w:b/>
          <w:bCs/>
          <w:sz w:val="24"/>
          <w:szCs w:val="24"/>
        </w:rPr>
        <w:t xml:space="preserve">reported </w:t>
      </w:r>
      <w:r w:rsidRPr="00E255E7">
        <w:rPr>
          <w:rFonts w:ascii="Arial" w:hAnsi="Arial" w:cs="Arial"/>
          <w:b/>
          <w:bCs/>
          <w:sz w:val="24"/>
          <w:szCs w:val="24"/>
        </w:rPr>
        <w:t>networks?</w:t>
      </w:r>
    </w:p>
    <w:p w14:paraId="094D9482" w14:textId="68190AC9" w:rsidR="00300B5A" w:rsidRPr="00EA2149" w:rsidRDefault="00300B5A" w:rsidP="005B41C8">
      <w:pPr>
        <w:spacing w:after="600"/>
        <w:ind w:left="720"/>
        <w:rPr>
          <w:rFonts w:ascii="Arial" w:hAnsi="Arial" w:cs="Arial"/>
          <w:sz w:val="24"/>
          <w:szCs w:val="24"/>
        </w:rPr>
      </w:pPr>
      <w:r w:rsidRPr="00E24C8B">
        <w:rPr>
          <w:rFonts w:ascii="Arial" w:hAnsi="Arial" w:cs="Arial"/>
          <w:sz w:val="24"/>
          <w:szCs w:val="24"/>
        </w:rPr>
        <w:t xml:space="preserve">Yes. The FTE starting value methodology assigns an FTE value to all reported counseling non-physician mental health professionals (Counseling MHPs) in a network based on factors relevant to all </w:t>
      </w:r>
      <w:r w:rsidR="001B02B3" w:rsidRPr="00E24C8B">
        <w:rPr>
          <w:rFonts w:ascii="Arial" w:hAnsi="Arial" w:cs="Arial"/>
          <w:sz w:val="24"/>
          <w:szCs w:val="24"/>
        </w:rPr>
        <w:t xml:space="preserve">reported </w:t>
      </w:r>
      <w:r w:rsidRPr="00E24C8B">
        <w:rPr>
          <w:rFonts w:ascii="Arial" w:hAnsi="Arial" w:cs="Arial"/>
          <w:sz w:val="24"/>
          <w:szCs w:val="24"/>
        </w:rPr>
        <w:t>networks</w:t>
      </w:r>
      <w:r w:rsidRPr="00EA2149">
        <w:rPr>
          <w:rFonts w:ascii="Arial" w:hAnsi="Arial" w:cs="Arial"/>
          <w:sz w:val="24"/>
          <w:szCs w:val="24"/>
        </w:rPr>
        <w:t>, including whether the reported network provider is full-time or part-time; whether the reported network provider practices in one county or multiple counties; and the typical number of networks a Counseling MHP contracts with by county type.</w:t>
      </w:r>
    </w:p>
    <w:p w14:paraId="346D9F27" w14:textId="1DEC4785" w:rsidR="00320D42" w:rsidRPr="00E255E7" w:rsidRDefault="00320D42" w:rsidP="007609BB">
      <w:pPr>
        <w:pStyle w:val="ListParagraph"/>
        <w:numPr>
          <w:ilvl w:val="0"/>
          <w:numId w:val="13"/>
        </w:numPr>
        <w:spacing w:after="240"/>
        <w:contextualSpacing w:val="0"/>
        <w:rPr>
          <w:rFonts w:ascii="Arial" w:hAnsi="Arial" w:cs="Arial"/>
          <w:b/>
          <w:bCs/>
          <w:sz w:val="24"/>
          <w:szCs w:val="24"/>
        </w:rPr>
      </w:pPr>
      <w:r w:rsidRPr="00E255E7">
        <w:rPr>
          <w:rFonts w:ascii="Arial" w:hAnsi="Arial" w:cs="Arial"/>
          <w:b/>
          <w:bCs/>
          <w:sz w:val="24"/>
          <w:szCs w:val="24"/>
        </w:rPr>
        <w:t>When the DMHC reviews plan networks according to the Counseling MHP Ratio Standards and Methodology for RY 2024, how do plans verify the FTE starting values and FTE starting value adjustments are applied to each applicable network provider?</w:t>
      </w:r>
    </w:p>
    <w:p w14:paraId="09AF3775" w14:textId="625EEA63" w:rsidR="00AE05C7" w:rsidRPr="00EA2149" w:rsidRDefault="00320D42" w:rsidP="005B41C8">
      <w:pPr>
        <w:spacing w:after="600"/>
        <w:ind w:left="720"/>
        <w:rPr>
          <w:rFonts w:ascii="Arial" w:hAnsi="Arial" w:cs="Arial"/>
          <w:sz w:val="24"/>
          <w:szCs w:val="24"/>
        </w:rPr>
      </w:pPr>
      <w:r w:rsidRPr="00EA2149">
        <w:rPr>
          <w:rFonts w:ascii="Arial" w:hAnsi="Arial" w:cs="Arial"/>
          <w:sz w:val="24"/>
          <w:szCs w:val="24"/>
        </w:rPr>
        <w:t>When conducting the network adequacy review for the RY 2024 Annual Network Review, the DMHC will assign FTE starting values and FTE starting value adjustments according to the Counseling Non-Physician Mental Health Professional Ratio Standards and Methodology, and the accompanying Appendix A. The calculations for these adjustments and examples are set forth in Appendix A. The DMHC will issue findings to plans that do not meet the standards or alternative standards set forth in the methodology, arising out of the reporting year (RY) Annual Network Review. Those findings will include the results of the DMHC’s analysis. If a plan receives a finding in this area, they are encouraged to apply the Counseling MHP Ratio methodology to their data and compare their results against the DMHC’s findings. Plans may further indicate in their response to the Network Findings Report if they believe a different outcome was warranted under the methodology.</w:t>
      </w:r>
    </w:p>
    <w:p w14:paraId="34BB628D" w14:textId="24DA2FA5" w:rsidR="006C0DEC" w:rsidRPr="00E255E7" w:rsidRDefault="006C0DEC" w:rsidP="003A3940">
      <w:pPr>
        <w:pStyle w:val="ListParagraph"/>
        <w:numPr>
          <w:ilvl w:val="0"/>
          <w:numId w:val="13"/>
        </w:numPr>
        <w:spacing w:after="240"/>
        <w:contextualSpacing w:val="0"/>
        <w:rPr>
          <w:rFonts w:ascii="Arial" w:hAnsi="Arial" w:cs="Arial"/>
          <w:sz w:val="24"/>
          <w:szCs w:val="24"/>
        </w:rPr>
      </w:pPr>
      <w:r w:rsidRPr="00E255E7">
        <w:rPr>
          <w:rFonts w:ascii="Arial" w:hAnsi="Arial" w:cs="Arial"/>
          <w:b/>
          <w:sz w:val="24"/>
          <w:szCs w:val="24"/>
        </w:rPr>
        <w:t>When measuring full-time equivalent or “FTE” as part of the DMHC’s Counseling MHP Ratio Standards and Methodology, does the FTE methodology consider provider participation in all networks across all markets, including those that are not licensed under the Knox-Keene Act?</w:t>
      </w:r>
    </w:p>
    <w:p w14:paraId="13C08C39" w14:textId="349DE6FA" w:rsidR="006C0DEC" w:rsidRPr="00E24C8B" w:rsidRDefault="006C0DEC" w:rsidP="00D700FC">
      <w:pPr>
        <w:spacing w:after="240"/>
        <w:ind w:left="720"/>
        <w:rPr>
          <w:rFonts w:ascii="Arial" w:hAnsi="Arial" w:cs="Arial"/>
          <w:sz w:val="24"/>
          <w:szCs w:val="24"/>
        </w:rPr>
      </w:pPr>
      <w:r w:rsidRPr="00EA2149">
        <w:rPr>
          <w:rFonts w:ascii="Arial" w:hAnsi="Arial" w:cs="Arial"/>
          <w:sz w:val="24"/>
          <w:szCs w:val="24"/>
        </w:rPr>
        <w:lastRenderedPageBreak/>
        <w:t xml:space="preserve">The Counseling MHP FTE ratio of 1:1000 is intended to take into consideration the need for mental health services in California and the likely demand on network providers from other plan networks as well as demand from sources outside of Knox-Keene Act licensure. However, when measuring </w:t>
      </w:r>
      <w:r w:rsidR="00402EA9" w:rsidRPr="00EA2149">
        <w:rPr>
          <w:rFonts w:ascii="Arial" w:hAnsi="Arial" w:cs="Arial"/>
          <w:sz w:val="24"/>
          <w:szCs w:val="24"/>
        </w:rPr>
        <w:t xml:space="preserve">the starting value </w:t>
      </w:r>
      <w:r w:rsidRPr="00EA2149">
        <w:rPr>
          <w:rFonts w:ascii="Arial" w:hAnsi="Arial" w:cs="Arial"/>
          <w:sz w:val="24"/>
          <w:szCs w:val="24"/>
        </w:rPr>
        <w:t xml:space="preserve">FTE, the DMHC primarily relies on provider availability information reported to the DMHC. The FTE starting value and starting value adjustments are based on the typical number of licensed plans and networks a Counseling MHP contracts with, by county type, based on network data </w:t>
      </w:r>
      <w:r w:rsidRPr="00E24C8B">
        <w:rPr>
          <w:rFonts w:ascii="Arial" w:hAnsi="Arial" w:cs="Arial"/>
          <w:sz w:val="24"/>
          <w:szCs w:val="24"/>
        </w:rPr>
        <w:t>reported to the DMHC. This calculation takes into account the total number of networks across all of the different plans with which a network provider is likely to be contracted in that county type.</w:t>
      </w:r>
    </w:p>
    <w:p w14:paraId="100749BE" w14:textId="3CB9EE3C" w:rsidR="00843D89" w:rsidRPr="00E24C8B" w:rsidRDefault="00402EA9" w:rsidP="00D700FC">
      <w:pPr>
        <w:spacing w:after="240"/>
        <w:ind w:left="720"/>
        <w:rPr>
          <w:rFonts w:ascii="Arial" w:hAnsi="Arial" w:cs="Arial"/>
          <w:sz w:val="24"/>
          <w:szCs w:val="24"/>
        </w:rPr>
      </w:pPr>
      <w:r w:rsidRPr="00E24C8B">
        <w:rPr>
          <w:rFonts w:ascii="Arial" w:hAnsi="Arial" w:cs="Arial"/>
          <w:sz w:val="24"/>
          <w:szCs w:val="24"/>
        </w:rPr>
        <w:t xml:space="preserve">The </w:t>
      </w:r>
      <w:r w:rsidR="00624E71" w:rsidRPr="00E24C8B">
        <w:rPr>
          <w:rFonts w:ascii="Arial" w:hAnsi="Arial" w:cs="Arial"/>
          <w:sz w:val="24"/>
          <w:szCs w:val="24"/>
        </w:rPr>
        <w:t>alternative methodolog</w:t>
      </w:r>
      <w:r w:rsidR="008B1B3D" w:rsidRPr="00E24C8B">
        <w:rPr>
          <w:rFonts w:ascii="Arial" w:hAnsi="Arial" w:cs="Arial"/>
          <w:sz w:val="24"/>
          <w:szCs w:val="24"/>
        </w:rPr>
        <w:t xml:space="preserve">ies that modify </w:t>
      </w:r>
      <w:r w:rsidRPr="00E24C8B">
        <w:rPr>
          <w:rFonts w:ascii="Arial" w:hAnsi="Arial" w:cs="Arial"/>
          <w:sz w:val="24"/>
          <w:szCs w:val="24"/>
        </w:rPr>
        <w:t xml:space="preserve">a network provider’s </w:t>
      </w:r>
      <w:r w:rsidR="008B1B3D" w:rsidRPr="00E24C8B">
        <w:rPr>
          <w:rFonts w:ascii="Arial" w:hAnsi="Arial" w:cs="Arial"/>
          <w:sz w:val="24"/>
          <w:szCs w:val="24"/>
        </w:rPr>
        <w:t>FTE</w:t>
      </w:r>
      <w:r w:rsidR="00570815" w:rsidRPr="00E24C8B">
        <w:rPr>
          <w:rFonts w:ascii="Arial" w:hAnsi="Arial" w:cs="Arial"/>
          <w:sz w:val="24"/>
          <w:szCs w:val="24"/>
        </w:rPr>
        <w:t xml:space="preserve">, when applicable, </w:t>
      </w:r>
      <w:r w:rsidR="007C2101" w:rsidRPr="00E24C8B">
        <w:rPr>
          <w:rFonts w:ascii="Arial" w:hAnsi="Arial" w:cs="Arial"/>
          <w:sz w:val="24"/>
          <w:szCs w:val="24"/>
        </w:rPr>
        <w:t xml:space="preserve">do consider provider participation across all markets. </w:t>
      </w:r>
      <w:r w:rsidR="00EF1549" w:rsidRPr="00E24C8B">
        <w:rPr>
          <w:rFonts w:ascii="Arial" w:hAnsi="Arial" w:cs="Arial"/>
          <w:sz w:val="24"/>
          <w:szCs w:val="24"/>
        </w:rPr>
        <w:t>The DMHC does not collect information regarding which providers have private pay patients or participate in Medicare or other fee-for-</w:t>
      </w:r>
      <w:r w:rsidR="00EF1549" w:rsidRPr="00F10450">
        <w:rPr>
          <w:rFonts w:ascii="Arial" w:hAnsi="Arial" w:cs="Arial"/>
          <w:sz w:val="24"/>
          <w:szCs w:val="24"/>
        </w:rPr>
        <w:t xml:space="preserve">service or self-funded products. However, </w:t>
      </w:r>
      <w:r w:rsidR="00570815" w:rsidRPr="00F10450">
        <w:rPr>
          <w:rFonts w:ascii="Arial" w:hAnsi="Arial" w:cs="Arial"/>
          <w:color w:val="000000" w:themeColor="text1"/>
          <w:sz w:val="24"/>
          <w:szCs w:val="24"/>
          <w:shd w:val="clear" w:color="auto" w:fill="FFFFFF"/>
        </w:rPr>
        <w:t>w</w:t>
      </w:r>
      <w:r w:rsidR="00843D89" w:rsidRPr="00F10450">
        <w:rPr>
          <w:rFonts w:ascii="Arial" w:hAnsi="Arial" w:cs="Arial"/>
          <w:color w:val="000000" w:themeColor="text1"/>
          <w:sz w:val="24"/>
          <w:szCs w:val="24"/>
          <w:shd w:val="clear" w:color="auto" w:fill="FFFFFF"/>
        </w:rPr>
        <w:t xml:space="preserve">hen an alternative methodology is applied to a network provider that modifies the provider’s original FTE starting value with adjustments, the application of the alternative methodology </w:t>
      </w:r>
      <w:r w:rsidR="00F40B2C" w:rsidRPr="00F10450">
        <w:rPr>
          <w:rFonts w:ascii="Arial" w:hAnsi="Arial" w:cs="Arial"/>
          <w:color w:val="000000" w:themeColor="text1"/>
          <w:sz w:val="24"/>
          <w:szCs w:val="24"/>
          <w:shd w:val="clear" w:color="auto" w:fill="FFFFFF"/>
        </w:rPr>
        <w:t>can</w:t>
      </w:r>
      <w:r w:rsidR="00843D89" w:rsidRPr="00F10450">
        <w:rPr>
          <w:rFonts w:ascii="Arial" w:hAnsi="Arial" w:cs="Arial"/>
          <w:color w:val="000000" w:themeColor="text1"/>
          <w:sz w:val="24"/>
          <w:szCs w:val="24"/>
          <w:shd w:val="clear" w:color="auto" w:fill="FFFFFF"/>
        </w:rPr>
        <w:t xml:space="preserve">not </w:t>
      </w:r>
      <w:r w:rsidR="00962FBA" w:rsidRPr="00F10450">
        <w:rPr>
          <w:rFonts w:ascii="Arial" w:hAnsi="Arial" w:cs="Arial"/>
          <w:color w:val="000000" w:themeColor="text1"/>
          <w:sz w:val="24"/>
          <w:szCs w:val="24"/>
          <w:shd w:val="clear" w:color="auto" w:fill="FFFFFF"/>
        </w:rPr>
        <w:t>generate</w:t>
      </w:r>
      <w:r w:rsidR="00843D89" w:rsidRPr="00F10450">
        <w:rPr>
          <w:rFonts w:ascii="Arial" w:hAnsi="Arial" w:cs="Arial"/>
          <w:color w:val="000000" w:themeColor="text1"/>
          <w:sz w:val="24"/>
          <w:szCs w:val="24"/>
          <w:shd w:val="clear" w:color="auto" w:fill="FFFFFF"/>
        </w:rPr>
        <w:t xml:space="preserve"> an FTE value for the provider that exceeds 0.8. </w:t>
      </w:r>
      <w:r w:rsidR="006B38C0" w:rsidRPr="00F10450">
        <w:rPr>
          <w:rFonts w:ascii="Arial" w:hAnsi="Arial" w:cs="Arial"/>
          <w:color w:val="000000" w:themeColor="text1"/>
          <w:sz w:val="24"/>
          <w:szCs w:val="24"/>
          <w:shd w:val="clear" w:color="auto" w:fill="FFFFFF"/>
        </w:rPr>
        <w:t xml:space="preserve">This is to account for </w:t>
      </w:r>
      <w:r w:rsidR="00EF1549" w:rsidRPr="00F10450">
        <w:rPr>
          <w:rFonts w:ascii="Arial" w:hAnsi="Arial" w:cs="Arial"/>
          <w:color w:val="000000" w:themeColor="text1"/>
          <w:sz w:val="24"/>
          <w:szCs w:val="24"/>
          <w:shd w:val="clear" w:color="auto" w:fill="FFFFFF"/>
        </w:rPr>
        <w:t xml:space="preserve">the other </w:t>
      </w:r>
      <w:r w:rsidR="009D70AC" w:rsidRPr="00F10450">
        <w:rPr>
          <w:rFonts w:ascii="Arial" w:hAnsi="Arial" w:cs="Arial"/>
          <w:color w:val="000000" w:themeColor="text1"/>
          <w:sz w:val="24"/>
          <w:szCs w:val="24"/>
          <w:shd w:val="clear" w:color="auto" w:fill="FFFFFF"/>
        </w:rPr>
        <w:t xml:space="preserve">populations the provider may serve that do not fall within the Annual Network Review, including Medicare populations, private pay patients, or </w:t>
      </w:r>
      <w:r w:rsidR="009C1EF2" w:rsidRPr="00F10450">
        <w:rPr>
          <w:rFonts w:ascii="Arial" w:hAnsi="Arial" w:cs="Arial"/>
          <w:color w:val="000000" w:themeColor="text1"/>
          <w:sz w:val="24"/>
          <w:szCs w:val="24"/>
          <w:shd w:val="clear" w:color="auto" w:fill="FFFFFF"/>
        </w:rPr>
        <w:t xml:space="preserve">enrollees of other </w:t>
      </w:r>
      <w:r w:rsidR="004C02CD" w:rsidRPr="00F10450">
        <w:rPr>
          <w:rFonts w:ascii="Arial" w:hAnsi="Arial" w:cs="Arial"/>
          <w:color w:val="000000" w:themeColor="text1"/>
          <w:sz w:val="24"/>
          <w:szCs w:val="24"/>
          <w:shd w:val="clear" w:color="auto" w:fill="FFFFFF"/>
        </w:rPr>
        <w:t>product lines that are exempt from Knox-Keene Act licensure or annual reporting.</w:t>
      </w:r>
    </w:p>
    <w:p w14:paraId="5CD027BE" w14:textId="336AEE4D" w:rsidR="006C0DEC" w:rsidRPr="00EA2149" w:rsidRDefault="002850C8" w:rsidP="00D727E4">
      <w:pPr>
        <w:spacing w:after="600"/>
        <w:ind w:left="720"/>
        <w:rPr>
          <w:rFonts w:ascii="Arial" w:hAnsi="Arial" w:cs="Arial"/>
          <w:sz w:val="24"/>
          <w:szCs w:val="24"/>
        </w:rPr>
      </w:pPr>
      <w:r w:rsidRPr="00E24C8B">
        <w:rPr>
          <w:rFonts w:ascii="Arial" w:hAnsi="Arial" w:cs="Arial"/>
          <w:sz w:val="24"/>
          <w:szCs w:val="24"/>
        </w:rPr>
        <w:t>Additionally, the</w:t>
      </w:r>
      <w:r w:rsidR="006C0DEC" w:rsidRPr="00E24C8B">
        <w:rPr>
          <w:rFonts w:ascii="Arial" w:hAnsi="Arial" w:cs="Arial"/>
          <w:sz w:val="24"/>
          <w:szCs w:val="24"/>
        </w:rPr>
        <w:t xml:space="preserve"> </w:t>
      </w:r>
      <w:r w:rsidR="00381833" w:rsidRPr="00E24C8B">
        <w:rPr>
          <w:rFonts w:ascii="Arial" w:hAnsi="Arial" w:cs="Arial"/>
          <w:sz w:val="24"/>
          <w:szCs w:val="24"/>
        </w:rPr>
        <w:t xml:space="preserve">alternative standard that modifies a network provider’s </w:t>
      </w:r>
      <w:r w:rsidR="006C0DEC" w:rsidRPr="00E24C8B">
        <w:rPr>
          <w:rFonts w:ascii="Arial" w:hAnsi="Arial" w:cs="Arial"/>
          <w:sz w:val="24"/>
          <w:szCs w:val="24"/>
        </w:rPr>
        <w:t>FTE for high enrollment counties takes into consideration the total population in the county, including population not enrolled in a Knox-Keene Act licensed plan</w:t>
      </w:r>
      <w:r w:rsidR="00DA6D36" w:rsidRPr="00E24C8B">
        <w:rPr>
          <w:rFonts w:ascii="Arial" w:hAnsi="Arial" w:cs="Arial"/>
          <w:sz w:val="24"/>
          <w:szCs w:val="24"/>
        </w:rPr>
        <w:t xml:space="preserve"> or subject to annual reporting</w:t>
      </w:r>
      <w:r w:rsidR="006C0DEC" w:rsidRPr="00E24C8B">
        <w:rPr>
          <w:rFonts w:ascii="Arial" w:hAnsi="Arial" w:cs="Arial"/>
          <w:sz w:val="24"/>
          <w:szCs w:val="24"/>
        </w:rPr>
        <w:t>. Please see Schedule A-3 of the standards and methodology for further information.</w:t>
      </w:r>
    </w:p>
    <w:p w14:paraId="7F005804" w14:textId="536834BB" w:rsidR="008C7AC8" w:rsidRPr="00E255E7" w:rsidRDefault="003E7280" w:rsidP="00D700FC">
      <w:pPr>
        <w:pStyle w:val="ListParagraph"/>
        <w:numPr>
          <w:ilvl w:val="0"/>
          <w:numId w:val="13"/>
        </w:numPr>
        <w:spacing w:after="240"/>
        <w:contextualSpacing w:val="0"/>
        <w:rPr>
          <w:rFonts w:ascii="Arial" w:hAnsi="Arial" w:cs="Arial"/>
          <w:b/>
          <w:bCs/>
          <w:sz w:val="24"/>
          <w:szCs w:val="24"/>
        </w:rPr>
      </w:pPr>
      <w:r w:rsidRPr="00E255E7">
        <w:rPr>
          <w:rFonts w:ascii="Arial" w:hAnsi="Arial" w:cs="Arial"/>
          <w:b/>
          <w:bCs/>
          <w:sz w:val="24"/>
          <w:szCs w:val="24"/>
        </w:rPr>
        <w:t xml:space="preserve">When reviewing network adequacy according to the </w:t>
      </w:r>
      <w:r w:rsidR="00AD2AB5" w:rsidRPr="00E255E7">
        <w:rPr>
          <w:rFonts w:ascii="Arial" w:hAnsi="Arial" w:cs="Arial"/>
          <w:b/>
          <w:bCs/>
          <w:sz w:val="24"/>
          <w:szCs w:val="24"/>
        </w:rPr>
        <w:t xml:space="preserve">DMHC’s </w:t>
      </w:r>
      <w:r w:rsidRPr="00E255E7">
        <w:rPr>
          <w:rFonts w:ascii="Arial" w:hAnsi="Arial" w:cs="Arial"/>
          <w:b/>
          <w:bCs/>
          <w:sz w:val="24"/>
          <w:szCs w:val="24"/>
        </w:rPr>
        <w:t xml:space="preserve">Counseling </w:t>
      </w:r>
      <w:r w:rsidR="00DC0520" w:rsidRPr="00E255E7">
        <w:rPr>
          <w:rFonts w:ascii="Arial" w:hAnsi="Arial" w:cs="Arial"/>
          <w:b/>
          <w:bCs/>
          <w:sz w:val="24"/>
          <w:szCs w:val="24"/>
        </w:rPr>
        <w:t xml:space="preserve">Non-Physician Mental Health Professional </w:t>
      </w:r>
      <w:r w:rsidRPr="00E255E7">
        <w:rPr>
          <w:rFonts w:ascii="Arial" w:hAnsi="Arial" w:cs="Arial"/>
          <w:b/>
          <w:bCs/>
          <w:sz w:val="24"/>
          <w:szCs w:val="24"/>
        </w:rPr>
        <w:t xml:space="preserve">Ratio Standards and Methodology, why </w:t>
      </w:r>
      <w:r w:rsidR="00410132" w:rsidRPr="00E255E7">
        <w:rPr>
          <w:rFonts w:ascii="Arial" w:hAnsi="Arial" w:cs="Arial"/>
          <w:b/>
          <w:bCs/>
          <w:sz w:val="24"/>
          <w:szCs w:val="24"/>
        </w:rPr>
        <w:t>are there</w:t>
      </w:r>
      <w:r w:rsidRPr="00E255E7">
        <w:rPr>
          <w:rFonts w:ascii="Arial" w:hAnsi="Arial" w:cs="Arial"/>
          <w:b/>
          <w:bCs/>
          <w:sz w:val="24"/>
          <w:szCs w:val="24"/>
        </w:rPr>
        <w:t xml:space="preserve"> alternative methodologies for determining full-time equivalent </w:t>
      </w:r>
      <w:r w:rsidR="00A84A24" w:rsidRPr="00E255E7">
        <w:rPr>
          <w:rFonts w:ascii="Arial" w:hAnsi="Arial" w:cs="Arial"/>
          <w:b/>
          <w:bCs/>
          <w:sz w:val="24"/>
          <w:szCs w:val="24"/>
        </w:rPr>
        <w:t>(</w:t>
      </w:r>
      <w:r w:rsidRPr="00E255E7">
        <w:rPr>
          <w:rFonts w:ascii="Arial" w:hAnsi="Arial" w:cs="Arial"/>
          <w:b/>
          <w:bCs/>
          <w:sz w:val="24"/>
          <w:szCs w:val="24"/>
        </w:rPr>
        <w:t>FTE</w:t>
      </w:r>
      <w:r w:rsidR="00A84A24" w:rsidRPr="00E255E7">
        <w:rPr>
          <w:rFonts w:ascii="Arial" w:hAnsi="Arial" w:cs="Arial"/>
          <w:b/>
          <w:bCs/>
          <w:sz w:val="24"/>
          <w:szCs w:val="24"/>
        </w:rPr>
        <w:t>)</w:t>
      </w:r>
      <w:r w:rsidRPr="00E255E7">
        <w:rPr>
          <w:rFonts w:ascii="Arial" w:hAnsi="Arial" w:cs="Arial"/>
          <w:b/>
          <w:bCs/>
          <w:sz w:val="24"/>
          <w:szCs w:val="24"/>
        </w:rPr>
        <w:t xml:space="preserve"> when a plan does not meet the ratio standard, rather than requiring the plan to meet the standard as established, including contracting with more providers, and requiring the plan to provide justification for why it cannot meet the standard?</w:t>
      </w:r>
    </w:p>
    <w:p w14:paraId="4044F2EB" w14:textId="37842C35" w:rsidR="008C7AC8" w:rsidRPr="00EA2149" w:rsidRDefault="008C7AC8" w:rsidP="00D700FC">
      <w:pPr>
        <w:spacing w:after="240"/>
        <w:ind w:left="720"/>
        <w:rPr>
          <w:rFonts w:ascii="Arial" w:hAnsi="Arial" w:cs="Arial"/>
          <w:sz w:val="24"/>
          <w:szCs w:val="24"/>
        </w:rPr>
      </w:pPr>
      <w:r w:rsidRPr="00EA2149">
        <w:rPr>
          <w:rFonts w:ascii="Arial" w:hAnsi="Arial" w:cs="Arial"/>
          <w:sz w:val="24"/>
          <w:szCs w:val="24"/>
        </w:rPr>
        <w:t xml:space="preserve">The FTE ratio standard of 1 FTE </w:t>
      </w:r>
      <w:r w:rsidR="004E6D22" w:rsidRPr="00EA2149">
        <w:rPr>
          <w:rFonts w:ascii="Arial" w:hAnsi="Arial" w:cs="Arial"/>
          <w:sz w:val="24"/>
          <w:szCs w:val="24"/>
        </w:rPr>
        <w:t xml:space="preserve">Counseling </w:t>
      </w:r>
      <w:r w:rsidRPr="00EA2149">
        <w:rPr>
          <w:rFonts w:ascii="Arial" w:hAnsi="Arial" w:cs="Arial"/>
          <w:sz w:val="24"/>
          <w:szCs w:val="24"/>
        </w:rPr>
        <w:t xml:space="preserve">MHP per 1000 enrollees accounts for the current need for mental health services among enrollees in California, </w:t>
      </w:r>
      <w:r w:rsidRPr="00EA2149">
        <w:rPr>
          <w:rFonts w:ascii="Arial" w:hAnsi="Arial" w:cs="Arial"/>
          <w:sz w:val="24"/>
          <w:szCs w:val="24"/>
        </w:rPr>
        <w:lastRenderedPageBreak/>
        <w:t>including unmet need</w:t>
      </w:r>
      <w:r w:rsidR="002B1412" w:rsidRPr="00EA2149">
        <w:rPr>
          <w:rFonts w:ascii="Arial" w:hAnsi="Arial" w:cs="Arial"/>
          <w:sz w:val="24"/>
          <w:szCs w:val="24"/>
        </w:rPr>
        <w:t xml:space="preserve">, according to the </w:t>
      </w:r>
      <w:r w:rsidR="004B3175" w:rsidRPr="00EA2149">
        <w:rPr>
          <w:rFonts w:ascii="Arial" w:hAnsi="Arial" w:cs="Arial"/>
          <w:sz w:val="24"/>
          <w:szCs w:val="24"/>
        </w:rPr>
        <w:t xml:space="preserve">relevant </w:t>
      </w:r>
      <w:r w:rsidR="002B1412" w:rsidRPr="00EA2149">
        <w:rPr>
          <w:rFonts w:ascii="Arial" w:hAnsi="Arial" w:cs="Arial"/>
          <w:sz w:val="24"/>
          <w:szCs w:val="24"/>
        </w:rPr>
        <w:t xml:space="preserve">research </w:t>
      </w:r>
      <w:r w:rsidR="00BC1F20" w:rsidRPr="00EA2149">
        <w:rPr>
          <w:rFonts w:ascii="Arial" w:hAnsi="Arial" w:cs="Arial"/>
          <w:sz w:val="24"/>
          <w:szCs w:val="24"/>
        </w:rPr>
        <w:t xml:space="preserve">published </w:t>
      </w:r>
      <w:r w:rsidR="002B1412" w:rsidRPr="00EA2149">
        <w:rPr>
          <w:rFonts w:ascii="Arial" w:hAnsi="Arial" w:cs="Arial"/>
          <w:sz w:val="24"/>
          <w:szCs w:val="24"/>
        </w:rPr>
        <w:t>on the subject</w:t>
      </w:r>
      <w:r w:rsidRPr="00EA2149">
        <w:rPr>
          <w:rFonts w:ascii="Arial" w:hAnsi="Arial" w:cs="Arial"/>
          <w:sz w:val="24"/>
          <w:szCs w:val="24"/>
        </w:rPr>
        <w:t>.</w:t>
      </w:r>
    </w:p>
    <w:p w14:paraId="4E5FBAE5" w14:textId="1CF51D2C" w:rsidR="008C7AC8" w:rsidRPr="00EA2149" w:rsidRDefault="008C7AC8" w:rsidP="00F67680">
      <w:pPr>
        <w:spacing w:after="240"/>
        <w:ind w:left="720"/>
        <w:rPr>
          <w:rFonts w:ascii="Arial" w:hAnsi="Arial" w:cs="Arial"/>
          <w:sz w:val="24"/>
          <w:szCs w:val="24"/>
        </w:rPr>
      </w:pPr>
      <w:r w:rsidRPr="00EA2149">
        <w:rPr>
          <w:rFonts w:ascii="Arial" w:hAnsi="Arial" w:cs="Arial"/>
          <w:sz w:val="24"/>
          <w:szCs w:val="24"/>
        </w:rPr>
        <w:t>The alternative methodologies do not alter the 1</w:t>
      </w:r>
      <w:r w:rsidR="002E0642" w:rsidRPr="00EA2149">
        <w:rPr>
          <w:rFonts w:ascii="Arial" w:hAnsi="Arial" w:cs="Arial"/>
          <w:sz w:val="24"/>
          <w:szCs w:val="24"/>
        </w:rPr>
        <w:t xml:space="preserve"> FTE</w:t>
      </w:r>
      <w:r w:rsidRPr="00EA2149">
        <w:rPr>
          <w:rFonts w:ascii="Arial" w:hAnsi="Arial" w:cs="Arial"/>
          <w:sz w:val="24"/>
          <w:szCs w:val="24"/>
        </w:rPr>
        <w:t xml:space="preserve">:1000 </w:t>
      </w:r>
      <w:r w:rsidR="003141BD" w:rsidRPr="00EA2149">
        <w:rPr>
          <w:rFonts w:ascii="Arial" w:hAnsi="Arial" w:cs="Arial"/>
          <w:sz w:val="24"/>
          <w:szCs w:val="24"/>
        </w:rPr>
        <w:t xml:space="preserve">enrollees </w:t>
      </w:r>
      <w:r w:rsidRPr="00EA2149">
        <w:rPr>
          <w:rFonts w:ascii="Arial" w:hAnsi="Arial" w:cs="Arial"/>
          <w:sz w:val="24"/>
          <w:szCs w:val="24"/>
        </w:rPr>
        <w:t xml:space="preserve">requirement. As set forth in the methodology document, there may be other factors present in a plan network that impact the FTE availability of one or more providers within the network. The alternative </w:t>
      </w:r>
      <w:r w:rsidR="00562607" w:rsidRPr="00EA2149">
        <w:rPr>
          <w:rFonts w:ascii="Arial" w:hAnsi="Arial" w:cs="Arial"/>
          <w:sz w:val="24"/>
          <w:szCs w:val="24"/>
        </w:rPr>
        <w:t xml:space="preserve">ratio </w:t>
      </w:r>
      <w:r w:rsidRPr="00EA2149">
        <w:rPr>
          <w:rFonts w:ascii="Arial" w:hAnsi="Arial" w:cs="Arial"/>
          <w:sz w:val="24"/>
          <w:szCs w:val="24"/>
        </w:rPr>
        <w:t>modifiers account for these additional factors. The D</w:t>
      </w:r>
      <w:r w:rsidR="007D768F" w:rsidRPr="00EA2149">
        <w:rPr>
          <w:rFonts w:ascii="Arial" w:hAnsi="Arial" w:cs="Arial"/>
          <w:sz w:val="24"/>
          <w:szCs w:val="24"/>
        </w:rPr>
        <w:t>MHC</w:t>
      </w:r>
      <w:r w:rsidRPr="00EA2149">
        <w:rPr>
          <w:rFonts w:ascii="Arial" w:hAnsi="Arial" w:cs="Arial"/>
          <w:sz w:val="24"/>
          <w:szCs w:val="24"/>
        </w:rPr>
        <w:t xml:space="preserve"> is required to conduct an additional review using the alternative methodologies when certain factors are present in a plan’s network impacting provider capacity, including the existence of exclusive provider contracts, the distribution and availability of providers in the county and neighboring counties, and the percentage of the population the network serves within the county. </w:t>
      </w:r>
      <w:r w:rsidR="00A6501E" w:rsidRPr="00EA2149">
        <w:rPr>
          <w:rFonts w:ascii="Arial" w:hAnsi="Arial" w:cs="Arial"/>
          <w:sz w:val="24"/>
          <w:szCs w:val="24"/>
        </w:rPr>
        <w:t xml:space="preserve">These factors </w:t>
      </w:r>
      <w:r w:rsidR="00AF4F37" w:rsidRPr="00EA2149">
        <w:rPr>
          <w:rFonts w:ascii="Arial" w:hAnsi="Arial" w:cs="Arial"/>
          <w:sz w:val="24"/>
          <w:szCs w:val="24"/>
        </w:rPr>
        <w:t xml:space="preserve">also </w:t>
      </w:r>
      <w:r w:rsidR="00A6501E" w:rsidRPr="00EA2149">
        <w:rPr>
          <w:rFonts w:ascii="Arial" w:hAnsi="Arial" w:cs="Arial"/>
          <w:sz w:val="24"/>
          <w:szCs w:val="24"/>
        </w:rPr>
        <w:t xml:space="preserve">reflect the pattern of </w:t>
      </w:r>
      <w:r w:rsidR="008B50BA" w:rsidRPr="00EA2149">
        <w:rPr>
          <w:rFonts w:ascii="Arial" w:hAnsi="Arial" w:cs="Arial"/>
          <w:sz w:val="24"/>
          <w:szCs w:val="24"/>
        </w:rPr>
        <w:t xml:space="preserve">practice </w:t>
      </w:r>
      <w:r w:rsidR="00AF4F37" w:rsidRPr="00EA2149">
        <w:rPr>
          <w:rFonts w:ascii="Arial" w:hAnsi="Arial" w:cs="Arial"/>
          <w:sz w:val="24"/>
          <w:szCs w:val="24"/>
        </w:rPr>
        <w:t>in the impacted counties.</w:t>
      </w:r>
    </w:p>
    <w:p w14:paraId="161D73C8" w14:textId="1EECB525" w:rsidR="008C7AC8" w:rsidRPr="00EA2149" w:rsidRDefault="008C7AC8" w:rsidP="00D727E4">
      <w:pPr>
        <w:spacing w:after="600"/>
        <w:ind w:left="720"/>
        <w:rPr>
          <w:rFonts w:ascii="Arial" w:hAnsi="Arial" w:cs="Arial"/>
          <w:sz w:val="24"/>
          <w:szCs w:val="24"/>
        </w:rPr>
      </w:pPr>
      <w:r w:rsidRPr="00EA2149">
        <w:rPr>
          <w:rFonts w:ascii="Arial" w:hAnsi="Arial" w:cs="Arial"/>
          <w:sz w:val="24"/>
          <w:szCs w:val="24"/>
        </w:rPr>
        <w:t>The D</w:t>
      </w:r>
      <w:r w:rsidR="00260FF2" w:rsidRPr="00EA2149">
        <w:rPr>
          <w:rFonts w:ascii="Arial" w:hAnsi="Arial" w:cs="Arial"/>
          <w:sz w:val="24"/>
          <w:szCs w:val="24"/>
        </w:rPr>
        <w:t>MHC</w:t>
      </w:r>
      <w:r w:rsidRPr="00EA2149">
        <w:rPr>
          <w:rFonts w:ascii="Arial" w:hAnsi="Arial" w:cs="Arial"/>
          <w:sz w:val="24"/>
          <w:szCs w:val="24"/>
        </w:rPr>
        <w:t xml:space="preserve"> will continue to examine application of the alternative review factors impacting provider </w:t>
      </w:r>
      <w:r w:rsidR="005F552B" w:rsidRPr="00EA2149">
        <w:rPr>
          <w:rFonts w:ascii="Arial" w:hAnsi="Arial" w:cs="Arial"/>
          <w:sz w:val="24"/>
          <w:szCs w:val="24"/>
        </w:rPr>
        <w:t xml:space="preserve">ratios and </w:t>
      </w:r>
      <w:r w:rsidRPr="00EA2149">
        <w:rPr>
          <w:rFonts w:ascii="Arial" w:hAnsi="Arial" w:cs="Arial"/>
          <w:sz w:val="24"/>
          <w:szCs w:val="24"/>
        </w:rPr>
        <w:t>FTE, to ensure that plans are incentivized to contract with available and accessible Counseling MHPs throughout the network service area.</w:t>
      </w:r>
    </w:p>
    <w:p w14:paraId="4BF68533" w14:textId="04DB42CA" w:rsidR="003A77A4" w:rsidRPr="00E255E7" w:rsidRDefault="003A77A4" w:rsidP="00F67680">
      <w:pPr>
        <w:pStyle w:val="ListParagraph"/>
        <w:numPr>
          <w:ilvl w:val="0"/>
          <w:numId w:val="13"/>
        </w:numPr>
        <w:spacing w:after="240"/>
        <w:contextualSpacing w:val="0"/>
        <w:rPr>
          <w:rFonts w:ascii="Arial" w:hAnsi="Arial" w:cs="Arial"/>
          <w:sz w:val="24"/>
          <w:szCs w:val="24"/>
        </w:rPr>
      </w:pPr>
      <w:r w:rsidRPr="00E255E7">
        <w:rPr>
          <w:rFonts w:ascii="Arial" w:hAnsi="Arial" w:cs="Arial"/>
          <w:b/>
          <w:sz w:val="24"/>
          <w:szCs w:val="24"/>
        </w:rPr>
        <w:t>Can a plan meet the Counseling MHP ratio standards through network providers that practice outside of the network service area?</w:t>
      </w:r>
    </w:p>
    <w:p w14:paraId="4B60D8F5" w14:textId="03641FE0" w:rsidR="003A77A4" w:rsidRPr="00EA2149" w:rsidRDefault="003A77A4" w:rsidP="00F67680">
      <w:pPr>
        <w:spacing w:after="240"/>
        <w:ind w:left="720"/>
        <w:rPr>
          <w:rFonts w:ascii="Arial" w:hAnsi="Arial" w:cs="Arial"/>
          <w:sz w:val="24"/>
          <w:szCs w:val="24"/>
        </w:rPr>
      </w:pPr>
      <w:r w:rsidRPr="00EA2149">
        <w:rPr>
          <w:rFonts w:ascii="Arial" w:hAnsi="Arial" w:cs="Arial"/>
          <w:sz w:val="24"/>
          <w:szCs w:val="24"/>
        </w:rPr>
        <w:t xml:space="preserve">The Counseling Non-Physician Mental Health Professional Ratio Standards and Methodology requires plans to meet the 1 FTE:1000 enrollees ratio standard at </w:t>
      </w:r>
      <w:r w:rsidRPr="00EA2149">
        <w:rPr>
          <w:rFonts w:ascii="Arial" w:hAnsi="Arial" w:cs="Arial"/>
          <w:i/>
          <w:iCs/>
          <w:sz w:val="24"/>
          <w:szCs w:val="24"/>
        </w:rPr>
        <w:t xml:space="preserve">both </w:t>
      </w:r>
      <w:r w:rsidRPr="00EA2149">
        <w:rPr>
          <w:rFonts w:ascii="Arial" w:hAnsi="Arial" w:cs="Arial"/>
          <w:sz w:val="24"/>
          <w:szCs w:val="24"/>
        </w:rPr>
        <w:t>the network level and the county level.</w:t>
      </w:r>
    </w:p>
    <w:p w14:paraId="5D700A44" w14:textId="77777777" w:rsidR="003A77A4" w:rsidRPr="00EA2149" w:rsidRDefault="003A77A4" w:rsidP="00F67680">
      <w:pPr>
        <w:spacing w:after="240"/>
        <w:ind w:left="720"/>
        <w:rPr>
          <w:rFonts w:ascii="Arial" w:hAnsi="Arial" w:cs="Arial"/>
          <w:sz w:val="24"/>
          <w:szCs w:val="24"/>
        </w:rPr>
      </w:pPr>
      <w:r w:rsidRPr="00EA2149">
        <w:rPr>
          <w:rFonts w:ascii="Arial" w:hAnsi="Arial" w:cs="Arial"/>
          <w:sz w:val="24"/>
          <w:szCs w:val="24"/>
        </w:rPr>
        <w:t>When calculating the FTE ratio at the network level (the ratio of FTE Counseling MHPs to enrollees for the entire licensed network), the methodology allows for the inclusion of network providers who practice outside of the network service area. Network providers are not required to be inside the network service area in order to be considered for the purposes of network adequacy. (See Rule 1300.67.2.2(b)(10): “a network provider means any provider… located inside or outside of the network service area of a designated network.”)</w:t>
      </w:r>
    </w:p>
    <w:p w14:paraId="2E46B5AF" w14:textId="77777777" w:rsidR="003A77A4" w:rsidRPr="00EA2149" w:rsidRDefault="003A77A4" w:rsidP="005C63A7">
      <w:pPr>
        <w:spacing w:after="600"/>
        <w:ind w:left="720"/>
        <w:rPr>
          <w:rFonts w:ascii="Arial" w:hAnsi="Arial" w:cs="Arial"/>
          <w:sz w:val="24"/>
          <w:szCs w:val="24"/>
        </w:rPr>
      </w:pPr>
      <w:r w:rsidRPr="00EA2149">
        <w:rPr>
          <w:rFonts w:ascii="Arial" w:hAnsi="Arial" w:cs="Arial"/>
          <w:sz w:val="24"/>
          <w:szCs w:val="24"/>
        </w:rPr>
        <w:t xml:space="preserve">In contrast, when calculating the FTE ratio at the county level, the methodology allows for the inclusion only of network providers available in the county. The county ratio standard is designed to evaluate capacity within each network service area county. Additionally, the alternative ratio methodologies do not include network providers outside of the network service area, except for the </w:t>
      </w:r>
      <w:r w:rsidRPr="00EA2149">
        <w:rPr>
          <w:rFonts w:ascii="Arial" w:hAnsi="Arial" w:cs="Arial"/>
          <w:sz w:val="24"/>
          <w:szCs w:val="24"/>
        </w:rPr>
        <w:lastRenderedPageBreak/>
        <w:t>combined county ratio modifier, when applicable. For the combined county ratio modifier, network providers outside of the network service area may be included in the FTE calculation but they must be located in an applicable adjacent county, according to the methodology.</w:t>
      </w:r>
    </w:p>
    <w:p w14:paraId="6997394D" w14:textId="58443210" w:rsidR="00CB58DD" w:rsidRPr="00E255E7" w:rsidRDefault="00DC727D" w:rsidP="00C07E86">
      <w:pPr>
        <w:pStyle w:val="ListParagraph"/>
        <w:numPr>
          <w:ilvl w:val="0"/>
          <w:numId w:val="13"/>
        </w:numPr>
        <w:spacing w:after="240"/>
        <w:contextualSpacing w:val="0"/>
        <w:rPr>
          <w:rFonts w:ascii="Arial" w:hAnsi="Arial" w:cs="Arial"/>
          <w:b/>
          <w:sz w:val="24"/>
          <w:szCs w:val="24"/>
        </w:rPr>
      </w:pPr>
      <w:r w:rsidRPr="00E255E7">
        <w:rPr>
          <w:rFonts w:ascii="Arial" w:hAnsi="Arial" w:cs="Arial"/>
          <w:b/>
          <w:sz w:val="24"/>
          <w:szCs w:val="24"/>
        </w:rPr>
        <w:t xml:space="preserve">The alternative methodology for high enrollment counties allows a plan to assign a larger FTE value to </w:t>
      </w:r>
      <w:r w:rsidR="004A36F9" w:rsidRPr="00E255E7">
        <w:rPr>
          <w:rFonts w:ascii="Arial" w:hAnsi="Arial" w:cs="Arial"/>
          <w:b/>
          <w:sz w:val="24"/>
          <w:szCs w:val="24"/>
        </w:rPr>
        <w:t xml:space="preserve">its providers if the plan </w:t>
      </w:r>
      <w:r w:rsidR="00917C67" w:rsidRPr="00E255E7">
        <w:rPr>
          <w:rFonts w:ascii="Arial" w:hAnsi="Arial" w:cs="Arial"/>
          <w:b/>
          <w:sz w:val="24"/>
          <w:szCs w:val="24"/>
        </w:rPr>
        <w:t>has more than 1</w:t>
      </w:r>
      <w:r w:rsidR="00A548D0" w:rsidRPr="00E255E7">
        <w:rPr>
          <w:rFonts w:ascii="Arial" w:hAnsi="Arial" w:cs="Arial"/>
          <w:b/>
          <w:sz w:val="24"/>
          <w:szCs w:val="24"/>
        </w:rPr>
        <w:t>%</w:t>
      </w:r>
      <w:r w:rsidR="00917C67" w:rsidRPr="00E255E7">
        <w:rPr>
          <w:rFonts w:ascii="Arial" w:hAnsi="Arial" w:cs="Arial"/>
          <w:b/>
          <w:sz w:val="24"/>
          <w:szCs w:val="24"/>
        </w:rPr>
        <w:t xml:space="preserve"> of</w:t>
      </w:r>
      <w:r w:rsidR="00FB4555" w:rsidRPr="00E255E7">
        <w:rPr>
          <w:rFonts w:ascii="Arial" w:hAnsi="Arial" w:cs="Arial"/>
          <w:b/>
          <w:sz w:val="24"/>
          <w:szCs w:val="24"/>
        </w:rPr>
        <w:t xml:space="preserve"> the county population enrolled in its network. This would seem to lower the number of individual network providers that network would need to make available </w:t>
      </w:r>
      <w:r w:rsidR="00A548D0" w:rsidRPr="00E255E7">
        <w:rPr>
          <w:rFonts w:ascii="Arial" w:hAnsi="Arial" w:cs="Arial"/>
          <w:b/>
          <w:sz w:val="24"/>
          <w:szCs w:val="24"/>
        </w:rPr>
        <w:t xml:space="preserve">in </w:t>
      </w:r>
      <w:r w:rsidR="00FB4555" w:rsidRPr="00E255E7">
        <w:rPr>
          <w:rFonts w:ascii="Arial" w:hAnsi="Arial" w:cs="Arial"/>
          <w:b/>
          <w:sz w:val="24"/>
          <w:szCs w:val="24"/>
        </w:rPr>
        <w:t xml:space="preserve">that county in order to meet the 1:1000 ratio. </w:t>
      </w:r>
      <w:r w:rsidR="002D7B5B" w:rsidRPr="00E255E7">
        <w:rPr>
          <w:rFonts w:ascii="Arial" w:hAnsi="Arial" w:cs="Arial"/>
          <w:b/>
          <w:sz w:val="24"/>
          <w:szCs w:val="24"/>
        </w:rPr>
        <w:t xml:space="preserve">Will this mean that enrollees in these high enrollment counties will have fewer </w:t>
      </w:r>
      <w:r w:rsidR="00325E23" w:rsidRPr="00E255E7">
        <w:rPr>
          <w:rFonts w:ascii="Arial" w:hAnsi="Arial" w:cs="Arial"/>
          <w:b/>
          <w:sz w:val="24"/>
          <w:szCs w:val="24"/>
        </w:rPr>
        <w:t>C</w:t>
      </w:r>
      <w:r w:rsidR="009558D2" w:rsidRPr="00E255E7">
        <w:rPr>
          <w:rFonts w:ascii="Arial" w:hAnsi="Arial" w:cs="Arial"/>
          <w:b/>
          <w:sz w:val="24"/>
          <w:szCs w:val="24"/>
        </w:rPr>
        <w:t xml:space="preserve">ounseling </w:t>
      </w:r>
      <w:r w:rsidR="00CC4A90" w:rsidRPr="00E255E7">
        <w:rPr>
          <w:rFonts w:ascii="Arial" w:hAnsi="Arial" w:cs="Arial"/>
          <w:b/>
          <w:sz w:val="24"/>
          <w:szCs w:val="24"/>
        </w:rPr>
        <w:t>MHPs available to treat them and impact their access to care?</w:t>
      </w:r>
    </w:p>
    <w:p w14:paraId="26D9CC6A" w14:textId="3B6BDC45" w:rsidR="00131863" w:rsidRPr="00EA2149" w:rsidRDefault="00970219" w:rsidP="00C07E86">
      <w:pPr>
        <w:spacing w:after="240"/>
        <w:ind w:left="720"/>
        <w:rPr>
          <w:rFonts w:ascii="Arial" w:hAnsi="Arial" w:cs="Arial"/>
          <w:sz w:val="24"/>
          <w:szCs w:val="24"/>
        </w:rPr>
      </w:pPr>
      <w:r w:rsidRPr="00EA2149">
        <w:rPr>
          <w:rFonts w:ascii="Arial" w:hAnsi="Arial" w:cs="Arial"/>
          <w:sz w:val="24"/>
          <w:szCs w:val="24"/>
        </w:rPr>
        <w:t xml:space="preserve">According to existing law, a provider’s </w:t>
      </w:r>
      <w:r w:rsidR="00676F98" w:rsidRPr="00EA2149">
        <w:rPr>
          <w:rFonts w:ascii="Arial" w:hAnsi="Arial" w:cs="Arial"/>
          <w:sz w:val="24"/>
          <w:szCs w:val="24"/>
        </w:rPr>
        <w:t xml:space="preserve">FTE </w:t>
      </w:r>
      <w:r w:rsidRPr="00EA2149">
        <w:rPr>
          <w:rFonts w:ascii="Arial" w:hAnsi="Arial" w:cs="Arial"/>
          <w:sz w:val="24"/>
          <w:szCs w:val="24"/>
        </w:rPr>
        <w:t xml:space="preserve">value in the calculation of provider ratios should be based </w:t>
      </w:r>
      <w:r w:rsidR="00676F98" w:rsidRPr="00EA2149">
        <w:rPr>
          <w:rFonts w:ascii="Arial" w:hAnsi="Arial" w:cs="Arial"/>
          <w:sz w:val="24"/>
          <w:szCs w:val="24"/>
        </w:rPr>
        <w:t>on that provider’s actual availability to enrollees within the network being measured</w:t>
      </w:r>
      <w:r w:rsidR="00F61158" w:rsidRPr="00EA2149">
        <w:rPr>
          <w:rFonts w:ascii="Arial" w:hAnsi="Arial" w:cs="Arial"/>
          <w:sz w:val="24"/>
          <w:szCs w:val="24"/>
        </w:rPr>
        <w:t>.</w:t>
      </w:r>
      <w:r w:rsidR="00676F98" w:rsidRPr="00EA2149">
        <w:rPr>
          <w:rFonts w:ascii="Arial" w:hAnsi="Arial" w:cs="Arial"/>
          <w:sz w:val="24"/>
          <w:szCs w:val="24"/>
        </w:rPr>
        <w:t xml:space="preserve"> (</w:t>
      </w:r>
      <w:r w:rsidR="00F61158" w:rsidRPr="00EA2149">
        <w:rPr>
          <w:rFonts w:ascii="Arial" w:hAnsi="Arial" w:cs="Arial"/>
          <w:sz w:val="24"/>
          <w:szCs w:val="24"/>
        </w:rPr>
        <w:t>S</w:t>
      </w:r>
      <w:r w:rsidR="00676F98" w:rsidRPr="00EA2149">
        <w:rPr>
          <w:rFonts w:ascii="Arial" w:hAnsi="Arial" w:cs="Arial"/>
          <w:sz w:val="24"/>
          <w:szCs w:val="24"/>
        </w:rPr>
        <w:t>ee Rule 1300.51(I)(</w:t>
      </w:r>
      <w:r w:rsidR="00AD52CD" w:rsidRPr="00EA2149">
        <w:rPr>
          <w:rFonts w:ascii="Arial" w:hAnsi="Arial" w:cs="Arial"/>
          <w:sz w:val="24"/>
          <w:szCs w:val="24"/>
        </w:rPr>
        <w:t>1) &amp; (4)</w:t>
      </w:r>
      <w:r w:rsidR="00F61158" w:rsidRPr="00EA2149">
        <w:rPr>
          <w:rFonts w:ascii="Arial" w:hAnsi="Arial" w:cs="Arial"/>
          <w:sz w:val="24"/>
          <w:szCs w:val="24"/>
        </w:rPr>
        <w:t xml:space="preserve">.) </w:t>
      </w:r>
      <w:r w:rsidR="00B94F99" w:rsidRPr="00EA2149">
        <w:rPr>
          <w:rFonts w:ascii="Arial" w:hAnsi="Arial" w:cs="Arial"/>
          <w:sz w:val="24"/>
          <w:szCs w:val="24"/>
        </w:rPr>
        <w:t xml:space="preserve">The FTE </w:t>
      </w:r>
      <w:r w:rsidR="006002AC" w:rsidRPr="00EA2149">
        <w:rPr>
          <w:rFonts w:ascii="Arial" w:hAnsi="Arial" w:cs="Arial"/>
          <w:sz w:val="24"/>
          <w:szCs w:val="24"/>
        </w:rPr>
        <w:t>methodology</w:t>
      </w:r>
      <w:r w:rsidR="00B94F99" w:rsidRPr="00EA2149">
        <w:rPr>
          <w:rFonts w:ascii="Arial" w:hAnsi="Arial" w:cs="Arial"/>
          <w:sz w:val="24"/>
          <w:szCs w:val="24"/>
        </w:rPr>
        <w:t xml:space="preserve"> set forth in the </w:t>
      </w:r>
      <w:r w:rsidR="00814C4D" w:rsidRPr="00EA2149">
        <w:rPr>
          <w:rFonts w:ascii="Arial" w:hAnsi="Arial" w:cs="Arial"/>
          <w:sz w:val="24"/>
          <w:szCs w:val="24"/>
        </w:rPr>
        <w:t>Counseling Non-Physician Mental Health Professional Ratio Standards and Methodology</w:t>
      </w:r>
      <w:r w:rsidR="00814C4D" w:rsidRPr="00EA2149" w:rsidDel="00410980">
        <w:rPr>
          <w:rFonts w:ascii="Arial" w:hAnsi="Arial" w:cs="Arial"/>
          <w:sz w:val="24"/>
          <w:szCs w:val="24"/>
        </w:rPr>
        <w:t xml:space="preserve"> </w:t>
      </w:r>
      <w:r w:rsidR="00EC7784" w:rsidRPr="00EA2149">
        <w:rPr>
          <w:rFonts w:ascii="Arial" w:hAnsi="Arial" w:cs="Arial"/>
          <w:sz w:val="24"/>
          <w:szCs w:val="24"/>
        </w:rPr>
        <w:t>is</w:t>
      </w:r>
      <w:r w:rsidR="00B943A6" w:rsidRPr="00EA2149">
        <w:rPr>
          <w:rFonts w:ascii="Arial" w:hAnsi="Arial" w:cs="Arial"/>
          <w:sz w:val="24"/>
          <w:szCs w:val="24"/>
        </w:rPr>
        <w:t xml:space="preserve"> intended to simulate the actual percentage of time a provider </w:t>
      </w:r>
      <w:r w:rsidR="004E1FBB" w:rsidRPr="00EA2149">
        <w:rPr>
          <w:rFonts w:ascii="Arial" w:hAnsi="Arial" w:cs="Arial"/>
          <w:sz w:val="24"/>
          <w:szCs w:val="24"/>
        </w:rPr>
        <w:t xml:space="preserve">is available to a particular plan’s network enrollees. </w:t>
      </w:r>
      <w:r w:rsidR="00410980" w:rsidRPr="00EA2149">
        <w:rPr>
          <w:rFonts w:ascii="Arial" w:hAnsi="Arial" w:cs="Arial"/>
          <w:sz w:val="24"/>
          <w:szCs w:val="24"/>
        </w:rPr>
        <w:t>T</w:t>
      </w:r>
      <w:r w:rsidR="00C77E2F" w:rsidRPr="00EA2149">
        <w:rPr>
          <w:rFonts w:ascii="Arial" w:hAnsi="Arial" w:cs="Arial"/>
          <w:sz w:val="24"/>
          <w:szCs w:val="24"/>
        </w:rPr>
        <w:t xml:space="preserve">he FTE modifier for </w:t>
      </w:r>
      <w:r w:rsidR="00F55B46" w:rsidRPr="00EA2149">
        <w:rPr>
          <w:rFonts w:ascii="Arial" w:hAnsi="Arial" w:cs="Arial"/>
          <w:sz w:val="24"/>
          <w:szCs w:val="24"/>
        </w:rPr>
        <w:t>high enrollment counties</w:t>
      </w:r>
      <w:r w:rsidR="00C77E2F" w:rsidRPr="00EA2149">
        <w:rPr>
          <w:rFonts w:ascii="Arial" w:hAnsi="Arial" w:cs="Arial"/>
          <w:sz w:val="24"/>
          <w:szCs w:val="24"/>
        </w:rPr>
        <w:t xml:space="preserve"> </w:t>
      </w:r>
      <w:r w:rsidR="00720004" w:rsidRPr="00EA2149">
        <w:rPr>
          <w:rFonts w:ascii="Arial" w:hAnsi="Arial" w:cs="Arial"/>
          <w:sz w:val="24"/>
          <w:szCs w:val="24"/>
        </w:rPr>
        <w:t>allocates</w:t>
      </w:r>
      <w:r w:rsidR="00B16ECC" w:rsidRPr="00EA2149">
        <w:rPr>
          <w:rFonts w:ascii="Arial" w:hAnsi="Arial" w:cs="Arial"/>
          <w:sz w:val="24"/>
          <w:szCs w:val="24"/>
        </w:rPr>
        <w:t xml:space="preserve"> a higher FTE </w:t>
      </w:r>
      <w:r w:rsidR="000150CC" w:rsidRPr="00EA2149">
        <w:rPr>
          <w:rFonts w:ascii="Arial" w:hAnsi="Arial" w:cs="Arial"/>
          <w:sz w:val="24"/>
          <w:szCs w:val="24"/>
        </w:rPr>
        <w:t xml:space="preserve">to </w:t>
      </w:r>
      <w:r w:rsidR="00720004" w:rsidRPr="00EA2149">
        <w:rPr>
          <w:rFonts w:ascii="Arial" w:hAnsi="Arial" w:cs="Arial"/>
          <w:sz w:val="24"/>
          <w:szCs w:val="24"/>
        </w:rPr>
        <w:t>network providers in a high</w:t>
      </w:r>
      <w:r w:rsidR="00754DE0" w:rsidRPr="00EA2149">
        <w:rPr>
          <w:rFonts w:ascii="Arial" w:hAnsi="Arial" w:cs="Arial"/>
          <w:sz w:val="24"/>
          <w:szCs w:val="24"/>
        </w:rPr>
        <w:t xml:space="preserve"> enrollment county to account </w:t>
      </w:r>
      <w:r w:rsidR="00DC5B24" w:rsidRPr="00EA2149">
        <w:rPr>
          <w:rFonts w:ascii="Arial" w:hAnsi="Arial" w:cs="Arial"/>
          <w:sz w:val="24"/>
          <w:szCs w:val="24"/>
        </w:rPr>
        <w:t>for the expectation that a larger share of a</w:t>
      </w:r>
      <w:r w:rsidR="00967FD7" w:rsidRPr="00EA2149">
        <w:rPr>
          <w:rFonts w:ascii="Arial" w:hAnsi="Arial" w:cs="Arial"/>
          <w:sz w:val="24"/>
          <w:szCs w:val="24"/>
        </w:rPr>
        <w:t xml:space="preserve"> network</w:t>
      </w:r>
      <w:r w:rsidR="00DC5B24" w:rsidRPr="00EA2149">
        <w:rPr>
          <w:rFonts w:ascii="Arial" w:hAnsi="Arial" w:cs="Arial"/>
          <w:sz w:val="24"/>
          <w:szCs w:val="24"/>
        </w:rPr>
        <w:t xml:space="preserve"> provider’s time will be devoted to </w:t>
      </w:r>
      <w:r w:rsidR="003701FE" w:rsidRPr="00EA2149">
        <w:rPr>
          <w:rFonts w:ascii="Arial" w:hAnsi="Arial" w:cs="Arial"/>
          <w:sz w:val="24"/>
          <w:szCs w:val="24"/>
        </w:rPr>
        <w:t>enrollees</w:t>
      </w:r>
      <w:r w:rsidR="005F5B8C" w:rsidRPr="00EA2149">
        <w:rPr>
          <w:rFonts w:ascii="Arial" w:hAnsi="Arial" w:cs="Arial"/>
          <w:sz w:val="24"/>
          <w:szCs w:val="24"/>
        </w:rPr>
        <w:t xml:space="preserve"> in </w:t>
      </w:r>
      <w:r w:rsidR="00DC5B24" w:rsidRPr="00EA2149">
        <w:rPr>
          <w:rFonts w:ascii="Arial" w:hAnsi="Arial" w:cs="Arial"/>
          <w:sz w:val="24"/>
          <w:szCs w:val="24"/>
        </w:rPr>
        <w:t>networks with high levels of enrollment</w:t>
      </w:r>
      <w:r w:rsidR="005F5B8C" w:rsidRPr="00EA2149">
        <w:rPr>
          <w:rFonts w:ascii="Arial" w:hAnsi="Arial" w:cs="Arial"/>
          <w:sz w:val="24"/>
          <w:szCs w:val="24"/>
        </w:rPr>
        <w:t xml:space="preserve"> in the county</w:t>
      </w:r>
      <w:r w:rsidR="00DC5B24" w:rsidRPr="00EA2149">
        <w:rPr>
          <w:rFonts w:ascii="Arial" w:hAnsi="Arial" w:cs="Arial"/>
          <w:sz w:val="24"/>
          <w:szCs w:val="24"/>
        </w:rPr>
        <w:t xml:space="preserve">. </w:t>
      </w:r>
      <w:r w:rsidR="00C3417D" w:rsidRPr="00EA2149">
        <w:rPr>
          <w:rFonts w:ascii="Arial" w:hAnsi="Arial" w:cs="Arial"/>
          <w:sz w:val="24"/>
          <w:szCs w:val="24"/>
        </w:rPr>
        <w:t xml:space="preserve">Based on a review of available data, </w:t>
      </w:r>
      <w:r w:rsidR="0049362A" w:rsidRPr="00EA2149">
        <w:rPr>
          <w:rFonts w:ascii="Arial" w:hAnsi="Arial" w:cs="Arial"/>
          <w:sz w:val="24"/>
          <w:szCs w:val="24"/>
        </w:rPr>
        <w:t xml:space="preserve">most </w:t>
      </w:r>
      <w:r w:rsidR="00BF438C" w:rsidRPr="00EA2149">
        <w:rPr>
          <w:rFonts w:ascii="Arial" w:hAnsi="Arial" w:cs="Arial"/>
          <w:sz w:val="24"/>
          <w:szCs w:val="24"/>
        </w:rPr>
        <w:t xml:space="preserve">reported </w:t>
      </w:r>
      <w:r w:rsidR="0049362A" w:rsidRPr="00EA2149">
        <w:rPr>
          <w:rFonts w:ascii="Arial" w:hAnsi="Arial" w:cs="Arial"/>
          <w:sz w:val="24"/>
          <w:szCs w:val="24"/>
        </w:rPr>
        <w:t xml:space="preserve">networks enroll a small share of a county population, </w:t>
      </w:r>
      <w:r w:rsidR="00615E0A" w:rsidRPr="00EA2149">
        <w:rPr>
          <w:rFonts w:ascii="Arial" w:hAnsi="Arial" w:cs="Arial"/>
          <w:sz w:val="24"/>
          <w:szCs w:val="24"/>
        </w:rPr>
        <w:t>typically around 0.07%</w:t>
      </w:r>
      <w:r w:rsidR="0049362A" w:rsidRPr="00EA2149">
        <w:rPr>
          <w:rFonts w:ascii="Arial" w:hAnsi="Arial" w:cs="Arial"/>
          <w:sz w:val="24"/>
          <w:szCs w:val="24"/>
        </w:rPr>
        <w:t xml:space="preserve">. Only 15% of </w:t>
      </w:r>
      <w:r w:rsidR="000D5686" w:rsidRPr="00EA2149">
        <w:rPr>
          <w:rFonts w:ascii="Arial" w:hAnsi="Arial" w:cs="Arial"/>
          <w:sz w:val="24"/>
          <w:szCs w:val="24"/>
        </w:rPr>
        <w:t xml:space="preserve">previously reported </w:t>
      </w:r>
      <w:r w:rsidR="0049362A" w:rsidRPr="00EA2149">
        <w:rPr>
          <w:rFonts w:ascii="Arial" w:hAnsi="Arial" w:cs="Arial"/>
          <w:sz w:val="24"/>
          <w:szCs w:val="24"/>
        </w:rPr>
        <w:t xml:space="preserve">county networks </w:t>
      </w:r>
      <w:r w:rsidR="0030196A" w:rsidRPr="00EA2149">
        <w:rPr>
          <w:rFonts w:ascii="Arial" w:hAnsi="Arial" w:cs="Arial"/>
          <w:sz w:val="24"/>
          <w:szCs w:val="24"/>
        </w:rPr>
        <w:t>enroll more</w:t>
      </w:r>
      <w:r w:rsidR="00D829F4" w:rsidRPr="00EA2149">
        <w:rPr>
          <w:rFonts w:ascii="Arial" w:hAnsi="Arial" w:cs="Arial"/>
          <w:sz w:val="24"/>
          <w:szCs w:val="24"/>
        </w:rPr>
        <w:t xml:space="preserve"> than</w:t>
      </w:r>
      <w:r w:rsidR="0049362A" w:rsidRPr="00EA2149">
        <w:rPr>
          <w:rFonts w:ascii="Arial" w:hAnsi="Arial" w:cs="Arial"/>
          <w:sz w:val="24"/>
          <w:szCs w:val="24"/>
        </w:rPr>
        <w:t xml:space="preserve"> 1%</w:t>
      </w:r>
      <w:r w:rsidR="00D829F4" w:rsidRPr="00EA2149">
        <w:rPr>
          <w:rFonts w:ascii="Arial" w:hAnsi="Arial" w:cs="Arial"/>
          <w:sz w:val="24"/>
          <w:szCs w:val="24"/>
        </w:rPr>
        <w:t xml:space="preserve"> of the county population</w:t>
      </w:r>
      <w:r w:rsidR="00E950D0" w:rsidRPr="00EA2149">
        <w:rPr>
          <w:rFonts w:ascii="Arial" w:hAnsi="Arial" w:cs="Arial"/>
          <w:sz w:val="24"/>
          <w:szCs w:val="24"/>
        </w:rPr>
        <w:t>.</w:t>
      </w:r>
    </w:p>
    <w:p w14:paraId="4C3411D3" w14:textId="1D3CC9FA" w:rsidR="00F55B46" w:rsidRPr="00EA2149" w:rsidRDefault="000F01F0" w:rsidP="00C07E86">
      <w:pPr>
        <w:spacing w:after="240"/>
        <w:ind w:left="720"/>
        <w:rPr>
          <w:rFonts w:ascii="Arial" w:hAnsi="Arial" w:cs="Arial"/>
          <w:sz w:val="24"/>
          <w:szCs w:val="24"/>
        </w:rPr>
      </w:pPr>
      <w:r w:rsidRPr="00EA2149">
        <w:rPr>
          <w:rFonts w:ascii="Arial" w:hAnsi="Arial" w:cs="Arial"/>
          <w:sz w:val="24"/>
          <w:szCs w:val="24"/>
        </w:rPr>
        <w:t xml:space="preserve">In those </w:t>
      </w:r>
      <w:r w:rsidRPr="00E24C8B">
        <w:rPr>
          <w:rFonts w:ascii="Arial" w:hAnsi="Arial" w:cs="Arial"/>
          <w:sz w:val="24"/>
          <w:szCs w:val="24"/>
        </w:rPr>
        <w:t xml:space="preserve">scenarios where </w:t>
      </w:r>
      <w:r w:rsidR="00067692" w:rsidRPr="00E24C8B">
        <w:rPr>
          <w:rFonts w:ascii="Arial" w:hAnsi="Arial" w:cs="Arial"/>
          <w:sz w:val="24"/>
          <w:szCs w:val="24"/>
        </w:rPr>
        <w:t>the</w:t>
      </w:r>
      <w:r w:rsidR="00D90E47" w:rsidRPr="00E24C8B">
        <w:rPr>
          <w:rFonts w:ascii="Arial" w:hAnsi="Arial" w:cs="Arial"/>
          <w:sz w:val="24"/>
          <w:szCs w:val="24"/>
        </w:rPr>
        <w:t xml:space="preserve"> FTE modifier for high enrollment counties is applicable, </w:t>
      </w:r>
      <w:r w:rsidR="00D31F04" w:rsidRPr="00E24C8B">
        <w:rPr>
          <w:rFonts w:ascii="Arial" w:hAnsi="Arial" w:cs="Arial"/>
          <w:sz w:val="24"/>
          <w:szCs w:val="24"/>
        </w:rPr>
        <w:t xml:space="preserve">the individual FTE values of the providers </w:t>
      </w:r>
      <w:r w:rsidR="00403E45" w:rsidRPr="00E24C8B">
        <w:rPr>
          <w:rFonts w:ascii="Arial" w:hAnsi="Arial" w:cs="Arial"/>
          <w:sz w:val="24"/>
          <w:szCs w:val="24"/>
        </w:rPr>
        <w:t>will</w:t>
      </w:r>
      <w:r w:rsidR="00D31F04" w:rsidRPr="00E24C8B">
        <w:rPr>
          <w:rFonts w:ascii="Arial" w:hAnsi="Arial" w:cs="Arial"/>
          <w:sz w:val="24"/>
          <w:szCs w:val="24"/>
        </w:rPr>
        <w:t xml:space="preserve"> still </w:t>
      </w:r>
      <w:r w:rsidR="00403E45" w:rsidRPr="00E24C8B">
        <w:rPr>
          <w:rFonts w:ascii="Arial" w:hAnsi="Arial" w:cs="Arial"/>
          <w:sz w:val="24"/>
          <w:szCs w:val="24"/>
        </w:rPr>
        <w:t>be allotted a fractional value that is</w:t>
      </w:r>
      <w:r w:rsidR="00D31F04" w:rsidRPr="00E24C8B">
        <w:rPr>
          <w:rFonts w:ascii="Arial" w:hAnsi="Arial" w:cs="Arial"/>
          <w:sz w:val="24"/>
          <w:szCs w:val="24"/>
        </w:rPr>
        <w:t xml:space="preserve"> below </w:t>
      </w:r>
      <w:r w:rsidR="00531F83" w:rsidRPr="00E24C8B">
        <w:rPr>
          <w:rFonts w:ascii="Arial" w:hAnsi="Arial" w:cs="Arial"/>
          <w:sz w:val="24"/>
          <w:szCs w:val="24"/>
        </w:rPr>
        <w:t>1 FTE</w:t>
      </w:r>
      <w:r w:rsidR="0049362A" w:rsidRPr="00E24C8B" w:rsidDel="000F56C3">
        <w:rPr>
          <w:rFonts w:ascii="Arial" w:hAnsi="Arial" w:cs="Arial"/>
          <w:sz w:val="24"/>
          <w:szCs w:val="24"/>
        </w:rPr>
        <w:t>.</w:t>
      </w:r>
      <w:r w:rsidR="00131863" w:rsidRPr="00E24C8B">
        <w:rPr>
          <w:rFonts w:ascii="Arial" w:hAnsi="Arial" w:cs="Arial"/>
          <w:color w:val="000000" w:themeColor="text1"/>
          <w:sz w:val="24"/>
          <w:szCs w:val="24"/>
          <w:shd w:val="clear" w:color="auto" w:fill="FFFFFF"/>
        </w:rPr>
        <w:t xml:space="preserve"> When an alternative methodology is applied to a network provider that modifies the provider’s original FTE starting value with adjustments, the application of the alternative methodology cannot </w:t>
      </w:r>
      <w:r w:rsidR="00962FBA" w:rsidRPr="00E24C8B">
        <w:rPr>
          <w:rFonts w:ascii="Arial" w:hAnsi="Arial" w:cs="Arial"/>
          <w:color w:val="000000" w:themeColor="text1"/>
          <w:sz w:val="24"/>
          <w:szCs w:val="24"/>
          <w:shd w:val="clear" w:color="auto" w:fill="FFFFFF"/>
        </w:rPr>
        <w:t xml:space="preserve">generate </w:t>
      </w:r>
      <w:r w:rsidR="00131863" w:rsidRPr="00E24C8B">
        <w:rPr>
          <w:rFonts w:ascii="Arial" w:hAnsi="Arial" w:cs="Arial"/>
          <w:color w:val="000000" w:themeColor="text1"/>
          <w:sz w:val="24"/>
          <w:szCs w:val="24"/>
          <w:shd w:val="clear" w:color="auto" w:fill="FFFFFF"/>
        </w:rPr>
        <w:t>an FTE value for the provider that exceeds 0.8. This is to account for the other populations the provider may serve that do not fall within the Annual Network Review, including Medicare populations, private pay patients, or enrollees of other product lines that are exempt from Knox-Keene Act licensure or annual reporting.</w:t>
      </w:r>
    </w:p>
    <w:p w14:paraId="43B8846B" w14:textId="74EC06C2" w:rsidR="00077FAA" w:rsidRPr="00EA2149" w:rsidRDefault="00BA7378" w:rsidP="005C63A7">
      <w:pPr>
        <w:spacing w:after="600"/>
        <w:ind w:left="720"/>
        <w:rPr>
          <w:rFonts w:ascii="Arial" w:hAnsi="Arial" w:cs="Arial"/>
          <w:sz w:val="24"/>
          <w:szCs w:val="24"/>
        </w:rPr>
      </w:pPr>
      <w:r w:rsidRPr="00EA2149">
        <w:rPr>
          <w:rFonts w:ascii="Arial" w:hAnsi="Arial" w:cs="Arial"/>
          <w:sz w:val="24"/>
          <w:szCs w:val="24"/>
        </w:rPr>
        <w:t>While</w:t>
      </w:r>
      <w:r w:rsidRPr="00EA2149" w:rsidDel="00C57C71">
        <w:rPr>
          <w:rFonts w:ascii="Arial" w:hAnsi="Arial" w:cs="Arial"/>
          <w:sz w:val="24"/>
          <w:szCs w:val="24"/>
        </w:rPr>
        <w:t xml:space="preserve"> </w:t>
      </w:r>
      <w:r w:rsidRPr="00EA2149">
        <w:rPr>
          <w:rFonts w:ascii="Arial" w:hAnsi="Arial" w:cs="Arial"/>
          <w:sz w:val="24"/>
          <w:szCs w:val="24"/>
        </w:rPr>
        <w:t xml:space="preserve">a higher FTE value allocated to providers in a particular network </w:t>
      </w:r>
      <w:r w:rsidR="008E31E4" w:rsidRPr="00EA2149">
        <w:rPr>
          <w:rFonts w:ascii="Arial" w:hAnsi="Arial" w:cs="Arial"/>
          <w:sz w:val="24"/>
          <w:szCs w:val="24"/>
        </w:rPr>
        <w:t xml:space="preserve">could </w:t>
      </w:r>
      <w:r w:rsidRPr="00EA2149">
        <w:rPr>
          <w:rFonts w:ascii="Arial" w:hAnsi="Arial" w:cs="Arial"/>
          <w:sz w:val="24"/>
          <w:szCs w:val="24"/>
        </w:rPr>
        <w:t xml:space="preserve">mean that it will take fewer providers to meet the </w:t>
      </w:r>
      <w:r w:rsidR="008E31E4" w:rsidRPr="00EA2149">
        <w:rPr>
          <w:rFonts w:ascii="Arial" w:hAnsi="Arial" w:cs="Arial"/>
          <w:sz w:val="24"/>
          <w:szCs w:val="24"/>
        </w:rPr>
        <w:t>ratio</w:t>
      </w:r>
      <w:r w:rsidR="00DB2740" w:rsidRPr="00EA2149">
        <w:rPr>
          <w:rFonts w:ascii="Arial" w:hAnsi="Arial" w:cs="Arial"/>
          <w:sz w:val="24"/>
          <w:szCs w:val="24"/>
        </w:rPr>
        <w:t xml:space="preserve"> standard</w:t>
      </w:r>
      <w:r w:rsidR="008E31E4" w:rsidRPr="00EA2149">
        <w:rPr>
          <w:rFonts w:ascii="Arial" w:hAnsi="Arial" w:cs="Arial"/>
          <w:sz w:val="24"/>
          <w:szCs w:val="24"/>
        </w:rPr>
        <w:t>, the</w:t>
      </w:r>
      <w:r w:rsidR="00DB2740" w:rsidRPr="00EA2149">
        <w:rPr>
          <w:rFonts w:ascii="Arial" w:hAnsi="Arial" w:cs="Arial"/>
          <w:sz w:val="24"/>
          <w:szCs w:val="24"/>
        </w:rPr>
        <w:t xml:space="preserve"> application of </w:t>
      </w:r>
      <w:r w:rsidR="00DB2740" w:rsidRPr="00EA2149">
        <w:rPr>
          <w:rFonts w:ascii="Arial" w:hAnsi="Arial" w:cs="Arial"/>
          <w:sz w:val="24"/>
          <w:szCs w:val="24"/>
        </w:rPr>
        <w:lastRenderedPageBreak/>
        <w:t>the FTE modifier better represents the actual</w:t>
      </w:r>
      <w:r w:rsidR="007B4BED" w:rsidRPr="00EA2149">
        <w:rPr>
          <w:rFonts w:ascii="Arial" w:hAnsi="Arial" w:cs="Arial"/>
          <w:sz w:val="24"/>
          <w:szCs w:val="24"/>
        </w:rPr>
        <w:t xml:space="preserve"> </w:t>
      </w:r>
      <w:r w:rsidR="003D5F0F" w:rsidRPr="00EA2149">
        <w:rPr>
          <w:rFonts w:ascii="Arial" w:hAnsi="Arial" w:cs="Arial"/>
          <w:sz w:val="24"/>
          <w:szCs w:val="24"/>
        </w:rPr>
        <w:t xml:space="preserve">number of </w:t>
      </w:r>
      <w:r w:rsidR="00D163A4" w:rsidRPr="00EA2149">
        <w:rPr>
          <w:rFonts w:ascii="Arial" w:hAnsi="Arial" w:cs="Arial"/>
          <w:sz w:val="24"/>
          <w:szCs w:val="24"/>
        </w:rPr>
        <w:t xml:space="preserve">FTE </w:t>
      </w:r>
      <w:r w:rsidR="003D5F0F" w:rsidRPr="00EA2149">
        <w:rPr>
          <w:rFonts w:ascii="Arial" w:hAnsi="Arial" w:cs="Arial"/>
          <w:sz w:val="24"/>
          <w:szCs w:val="24"/>
        </w:rPr>
        <w:t xml:space="preserve">providers who </w:t>
      </w:r>
      <w:r w:rsidR="00B13B6D" w:rsidRPr="00EA2149">
        <w:rPr>
          <w:rFonts w:ascii="Arial" w:hAnsi="Arial" w:cs="Arial"/>
          <w:sz w:val="24"/>
          <w:szCs w:val="24"/>
        </w:rPr>
        <w:t>may be</w:t>
      </w:r>
      <w:r w:rsidR="003D5F0F" w:rsidRPr="00EA2149">
        <w:rPr>
          <w:rFonts w:ascii="Arial" w:hAnsi="Arial" w:cs="Arial"/>
          <w:sz w:val="24"/>
          <w:szCs w:val="24"/>
        </w:rPr>
        <w:t xml:space="preserve"> available to treat these enrollees</w:t>
      </w:r>
      <w:r w:rsidR="001112E8" w:rsidRPr="00EA2149">
        <w:rPr>
          <w:rFonts w:ascii="Arial" w:hAnsi="Arial" w:cs="Arial"/>
          <w:sz w:val="24"/>
          <w:szCs w:val="24"/>
        </w:rPr>
        <w:t>.</w:t>
      </w:r>
    </w:p>
    <w:p w14:paraId="40B3E692" w14:textId="1C8F5C6D" w:rsidR="00554B46" w:rsidRPr="00E255E7" w:rsidRDefault="00E51D1F" w:rsidP="00C07E86">
      <w:pPr>
        <w:pStyle w:val="ListParagraph"/>
        <w:numPr>
          <w:ilvl w:val="0"/>
          <w:numId w:val="13"/>
        </w:numPr>
        <w:spacing w:after="240"/>
        <w:contextualSpacing w:val="0"/>
        <w:rPr>
          <w:rFonts w:ascii="Arial" w:hAnsi="Arial" w:cs="Arial"/>
          <w:sz w:val="24"/>
          <w:szCs w:val="24"/>
        </w:rPr>
      </w:pPr>
      <w:r w:rsidRPr="00E255E7">
        <w:rPr>
          <w:rFonts w:ascii="Arial" w:hAnsi="Arial" w:cs="Arial"/>
          <w:b/>
          <w:sz w:val="24"/>
          <w:szCs w:val="24"/>
        </w:rPr>
        <w:t>In order for the</w:t>
      </w:r>
      <w:r w:rsidR="000827F3" w:rsidRPr="00E255E7">
        <w:rPr>
          <w:rFonts w:ascii="Arial" w:hAnsi="Arial" w:cs="Arial"/>
          <w:b/>
          <w:sz w:val="24"/>
          <w:szCs w:val="24"/>
        </w:rPr>
        <w:t xml:space="preserve"> DMHC to apply the</w:t>
      </w:r>
      <w:r w:rsidRPr="00E255E7">
        <w:rPr>
          <w:rFonts w:ascii="Arial" w:hAnsi="Arial" w:cs="Arial"/>
          <w:b/>
          <w:sz w:val="24"/>
          <w:szCs w:val="24"/>
        </w:rPr>
        <w:t xml:space="preserve"> Combined County Modifier </w:t>
      </w:r>
      <w:r w:rsidR="000827F3" w:rsidRPr="00E255E7">
        <w:rPr>
          <w:rFonts w:ascii="Arial" w:hAnsi="Arial" w:cs="Arial"/>
          <w:b/>
          <w:sz w:val="24"/>
          <w:szCs w:val="24"/>
        </w:rPr>
        <w:t xml:space="preserve">to </w:t>
      </w:r>
      <w:r w:rsidRPr="00E255E7">
        <w:rPr>
          <w:rFonts w:ascii="Arial" w:hAnsi="Arial" w:cs="Arial"/>
          <w:b/>
          <w:sz w:val="24"/>
          <w:szCs w:val="24"/>
        </w:rPr>
        <w:t>Large Metro, Metro, and Micro counties, why do plans only need to contract with 30% of the available licensed Counseling MHPs?</w:t>
      </w:r>
    </w:p>
    <w:p w14:paraId="55DA1BEB" w14:textId="3B6CB5C7" w:rsidR="00080D38" w:rsidRPr="00EA2149" w:rsidRDefault="00554B46" w:rsidP="00C07E86">
      <w:pPr>
        <w:spacing w:after="240"/>
        <w:ind w:left="720"/>
        <w:rPr>
          <w:rFonts w:ascii="Arial" w:hAnsi="Arial" w:cs="Arial"/>
          <w:sz w:val="24"/>
          <w:szCs w:val="24"/>
        </w:rPr>
      </w:pPr>
      <w:r w:rsidRPr="00EA2149">
        <w:rPr>
          <w:rFonts w:ascii="Arial" w:hAnsi="Arial" w:cs="Arial"/>
          <w:sz w:val="24"/>
          <w:szCs w:val="24"/>
        </w:rPr>
        <w:t xml:space="preserve">The ratio standard of 1 FTE Counseling MHP per 1000 enrollees accounts for the current need for mental health services among enrollees in California, including unmet need. The </w:t>
      </w:r>
      <w:r w:rsidR="0000242B" w:rsidRPr="00EA2149">
        <w:rPr>
          <w:rFonts w:ascii="Arial" w:hAnsi="Arial" w:cs="Arial"/>
          <w:sz w:val="24"/>
          <w:szCs w:val="24"/>
        </w:rPr>
        <w:t xml:space="preserve">ratio and </w:t>
      </w:r>
      <w:r w:rsidRPr="00EA2149">
        <w:rPr>
          <w:rFonts w:ascii="Arial" w:hAnsi="Arial" w:cs="Arial"/>
          <w:sz w:val="24"/>
          <w:szCs w:val="24"/>
        </w:rPr>
        <w:t xml:space="preserve">FTE starting value methodology provides a fixed approach </w:t>
      </w:r>
      <w:r w:rsidR="00D07B69" w:rsidRPr="00EA2149">
        <w:rPr>
          <w:rFonts w:ascii="Arial" w:hAnsi="Arial" w:cs="Arial"/>
          <w:sz w:val="24"/>
          <w:szCs w:val="24"/>
        </w:rPr>
        <w:t xml:space="preserve">to the </w:t>
      </w:r>
      <w:r w:rsidR="004A343C" w:rsidRPr="00EA2149">
        <w:rPr>
          <w:rFonts w:ascii="Arial" w:hAnsi="Arial" w:cs="Arial"/>
          <w:sz w:val="24"/>
          <w:szCs w:val="24"/>
        </w:rPr>
        <w:t>ratio</w:t>
      </w:r>
      <w:r w:rsidR="009300C3" w:rsidRPr="00EA2149">
        <w:rPr>
          <w:rFonts w:ascii="Arial" w:hAnsi="Arial" w:cs="Arial"/>
          <w:sz w:val="24"/>
          <w:szCs w:val="24"/>
        </w:rPr>
        <w:t xml:space="preserve"> standard and</w:t>
      </w:r>
      <w:r w:rsidR="004A343C" w:rsidRPr="00EA2149">
        <w:rPr>
          <w:rFonts w:ascii="Arial" w:hAnsi="Arial" w:cs="Arial"/>
          <w:sz w:val="24"/>
          <w:szCs w:val="24"/>
        </w:rPr>
        <w:t xml:space="preserve"> </w:t>
      </w:r>
      <w:r w:rsidR="00D07B69" w:rsidRPr="00EA2149">
        <w:rPr>
          <w:rFonts w:ascii="Arial" w:hAnsi="Arial" w:cs="Arial"/>
          <w:sz w:val="24"/>
          <w:szCs w:val="24"/>
        </w:rPr>
        <w:t>methodology</w:t>
      </w:r>
      <w:r w:rsidR="009300C3" w:rsidRPr="00EA2149">
        <w:rPr>
          <w:rFonts w:ascii="Arial" w:hAnsi="Arial" w:cs="Arial"/>
          <w:sz w:val="24"/>
          <w:szCs w:val="24"/>
        </w:rPr>
        <w:t>.</w:t>
      </w:r>
      <w:r w:rsidR="00D07B69" w:rsidRPr="00EA2149">
        <w:rPr>
          <w:rFonts w:ascii="Arial" w:hAnsi="Arial" w:cs="Arial"/>
          <w:sz w:val="24"/>
          <w:szCs w:val="24"/>
        </w:rPr>
        <w:t xml:space="preserve"> </w:t>
      </w:r>
      <w:r w:rsidRPr="00EA2149">
        <w:rPr>
          <w:rFonts w:ascii="Arial" w:hAnsi="Arial" w:cs="Arial"/>
          <w:sz w:val="24"/>
          <w:szCs w:val="24"/>
        </w:rPr>
        <w:t>The D</w:t>
      </w:r>
      <w:r w:rsidR="009300C3" w:rsidRPr="00EA2149">
        <w:rPr>
          <w:rFonts w:ascii="Arial" w:hAnsi="Arial" w:cs="Arial"/>
          <w:sz w:val="24"/>
          <w:szCs w:val="24"/>
        </w:rPr>
        <w:t xml:space="preserve">MHC </w:t>
      </w:r>
      <w:r w:rsidRPr="00EA2149">
        <w:rPr>
          <w:rFonts w:ascii="Arial" w:hAnsi="Arial" w:cs="Arial"/>
          <w:sz w:val="24"/>
          <w:szCs w:val="24"/>
        </w:rPr>
        <w:t xml:space="preserve">conducts an additional review using alternative methodologies when factors are present in a plan’s network impacting </w:t>
      </w:r>
      <w:r w:rsidR="00D714C6" w:rsidRPr="00EA2149">
        <w:rPr>
          <w:rFonts w:ascii="Arial" w:hAnsi="Arial" w:cs="Arial"/>
          <w:sz w:val="24"/>
          <w:szCs w:val="24"/>
        </w:rPr>
        <w:t>provider capacity</w:t>
      </w:r>
      <w:r w:rsidRPr="00EA2149">
        <w:rPr>
          <w:rFonts w:ascii="Arial" w:hAnsi="Arial" w:cs="Arial"/>
          <w:sz w:val="24"/>
          <w:szCs w:val="24"/>
        </w:rPr>
        <w:t>. For example, due to regional variation in supply of Counseling MHPs throughout California, the pattern of practice may be to travel to a neighboring county for care, particularly in rural areas. The alternative methodology allows adjacent counties to be combined for purposes of meeting the FTE ratio standar</w:t>
      </w:r>
      <w:r w:rsidR="0091424B" w:rsidRPr="00EA2149">
        <w:rPr>
          <w:rFonts w:ascii="Arial" w:hAnsi="Arial" w:cs="Arial"/>
          <w:sz w:val="24"/>
          <w:szCs w:val="24"/>
        </w:rPr>
        <w:t>d in Rural and CEAC counties</w:t>
      </w:r>
      <w:r w:rsidRPr="00EA2149">
        <w:rPr>
          <w:rFonts w:ascii="Arial" w:hAnsi="Arial" w:cs="Arial"/>
          <w:sz w:val="24"/>
          <w:szCs w:val="24"/>
        </w:rPr>
        <w:t>.</w:t>
      </w:r>
    </w:p>
    <w:p w14:paraId="3ED5F324" w14:textId="5A8129C8" w:rsidR="00554B46" w:rsidRPr="00EA2149" w:rsidRDefault="00554B46" w:rsidP="00C07E86">
      <w:pPr>
        <w:spacing w:after="240"/>
        <w:ind w:left="720"/>
        <w:rPr>
          <w:rFonts w:ascii="Arial" w:hAnsi="Arial" w:cs="Arial"/>
          <w:sz w:val="24"/>
          <w:szCs w:val="24"/>
        </w:rPr>
      </w:pPr>
      <w:r w:rsidRPr="00EA2149">
        <w:rPr>
          <w:rFonts w:ascii="Arial" w:hAnsi="Arial" w:cs="Arial"/>
          <w:sz w:val="24"/>
          <w:szCs w:val="24"/>
        </w:rPr>
        <w:t>However, in more populous county types such as Large Metro, Metro</w:t>
      </w:r>
      <w:r w:rsidR="0083663A" w:rsidRPr="00EA2149">
        <w:rPr>
          <w:rFonts w:ascii="Arial" w:hAnsi="Arial" w:cs="Arial"/>
          <w:sz w:val="24"/>
          <w:szCs w:val="24"/>
        </w:rPr>
        <w:t>,</w:t>
      </w:r>
      <w:r w:rsidRPr="00EA2149">
        <w:rPr>
          <w:rFonts w:ascii="Arial" w:hAnsi="Arial" w:cs="Arial"/>
          <w:sz w:val="24"/>
          <w:szCs w:val="24"/>
        </w:rPr>
        <w:t xml:space="preserve"> and Micro counties, the </w:t>
      </w:r>
      <w:r w:rsidR="00842AA6" w:rsidRPr="00EA2149">
        <w:rPr>
          <w:rFonts w:ascii="Arial" w:hAnsi="Arial" w:cs="Arial"/>
          <w:sz w:val="24"/>
          <w:szCs w:val="24"/>
        </w:rPr>
        <w:t xml:space="preserve">alternative </w:t>
      </w:r>
      <w:r w:rsidRPr="00EA2149">
        <w:rPr>
          <w:rFonts w:ascii="Arial" w:hAnsi="Arial" w:cs="Arial"/>
          <w:sz w:val="24"/>
          <w:szCs w:val="24"/>
        </w:rPr>
        <w:t xml:space="preserve">methodology requires </w:t>
      </w:r>
      <w:r w:rsidR="0052445D" w:rsidRPr="00EA2149">
        <w:rPr>
          <w:rFonts w:ascii="Arial" w:hAnsi="Arial" w:cs="Arial"/>
          <w:sz w:val="24"/>
          <w:szCs w:val="24"/>
        </w:rPr>
        <w:t>the</w:t>
      </w:r>
      <w:r w:rsidRPr="00EA2149">
        <w:rPr>
          <w:rFonts w:ascii="Arial" w:hAnsi="Arial" w:cs="Arial"/>
          <w:sz w:val="24"/>
          <w:szCs w:val="24"/>
        </w:rPr>
        <w:t xml:space="preserve"> network to </w:t>
      </w:r>
      <w:r w:rsidR="0052445D" w:rsidRPr="00EA2149">
        <w:rPr>
          <w:rFonts w:ascii="Arial" w:hAnsi="Arial" w:cs="Arial"/>
          <w:sz w:val="24"/>
          <w:szCs w:val="24"/>
        </w:rPr>
        <w:t>be</w:t>
      </w:r>
      <w:r w:rsidRPr="00EA2149">
        <w:rPr>
          <w:rFonts w:ascii="Arial" w:hAnsi="Arial" w:cs="Arial"/>
          <w:sz w:val="24"/>
          <w:szCs w:val="24"/>
        </w:rPr>
        <w:t xml:space="preserve"> contracting with a significant percentage of Counseling MHPs </w:t>
      </w:r>
      <w:r w:rsidR="0041398C" w:rsidRPr="00EA2149">
        <w:rPr>
          <w:rFonts w:ascii="Arial" w:hAnsi="Arial" w:cs="Arial"/>
          <w:sz w:val="24"/>
          <w:szCs w:val="24"/>
        </w:rPr>
        <w:t xml:space="preserve">in the county </w:t>
      </w:r>
      <w:r w:rsidRPr="00EA2149">
        <w:rPr>
          <w:rFonts w:ascii="Arial" w:hAnsi="Arial" w:cs="Arial"/>
          <w:sz w:val="24"/>
          <w:szCs w:val="24"/>
        </w:rPr>
        <w:t>(greater than 30%</w:t>
      </w:r>
      <w:r w:rsidR="0041398C" w:rsidRPr="00EA2149">
        <w:rPr>
          <w:rFonts w:ascii="Arial" w:hAnsi="Arial" w:cs="Arial"/>
          <w:sz w:val="24"/>
          <w:szCs w:val="24"/>
        </w:rPr>
        <w:t xml:space="preserve"> of the available licensed providers in California in the Department of Consumer Affairs database</w:t>
      </w:r>
      <w:r w:rsidRPr="00EA2149">
        <w:rPr>
          <w:rFonts w:ascii="Arial" w:hAnsi="Arial" w:cs="Arial"/>
          <w:sz w:val="24"/>
          <w:szCs w:val="24"/>
        </w:rPr>
        <w:t xml:space="preserve">) before the </w:t>
      </w:r>
      <w:r w:rsidR="001E4197" w:rsidRPr="00EA2149">
        <w:rPr>
          <w:rFonts w:ascii="Arial" w:hAnsi="Arial" w:cs="Arial"/>
          <w:sz w:val="24"/>
          <w:szCs w:val="24"/>
        </w:rPr>
        <w:t xml:space="preserve">DMHC will review the county </w:t>
      </w:r>
      <w:r w:rsidR="0041398C" w:rsidRPr="00EA2149">
        <w:rPr>
          <w:rFonts w:ascii="Arial" w:hAnsi="Arial" w:cs="Arial"/>
          <w:sz w:val="24"/>
          <w:szCs w:val="24"/>
        </w:rPr>
        <w:t xml:space="preserve">under a </w:t>
      </w:r>
      <w:r w:rsidRPr="00EA2149">
        <w:rPr>
          <w:rFonts w:ascii="Arial" w:hAnsi="Arial" w:cs="Arial"/>
          <w:sz w:val="24"/>
          <w:szCs w:val="24"/>
        </w:rPr>
        <w:t xml:space="preserve">combined </w:t>
      </w:r>
      <w:r w:rsidR="0041398C" w:rsidRPr="00EA2149">
        <w:rPr>
          <w:rFonts w:ascii="Arial" w:hAnsi="Arial" w:cs="Arial"/>
          <w:sz w:val="24"/>
          <w:szCs w:val="24"/>
        </w:rPr>
        <w:t>county alternative s</w:t>
      </w:r>
      <w:r w:rsidR="0070453F" w:rsidRPr="00EA2149">
        <w:rPr>
          <w:rFonts w:ascii="Arial" w:hAnsi="Arial" w:cs="Arial"/>
          <w:sz w:val="24"/>
          <w:szCs w:val="24"/>
        </w:rPr>
        <w:t>tandard.</w:t>
      </w:r>
      <w:r w:rsidR="003C33AF" w:rsidRPr="00EA2149">
        <w:rPr>
          <w:rFonts w:ascii="Arial" w:hAnsi="Arial" w:cs="Arial"/>
          <w:sz w:val="24"/>
          <w:szCs w:val="24"/>
        </w:rPr>
        <w:t xml:space="preserve"> </w:t>
      </w:r>
      <w:r w:rsidR="00452C1D" w:rsidRPr="00EA2149">
        <w:rPr>
          <w:rFonts w:ascii="Arial" w:hAnsi="Arial" w:cs="Arial"/>
          <w:sz w:val="24"/>
          <w:szCs w:val="24"/>
        </w:rPr>
        <w:t xml:space="preserve">To determine the appropriate percentage of </w:t>
      </w:r>
      <w:r w:rsidR="008642F7" w:rsidRPr="00EA2149">
        <w:rPr>
          <w:rFonts w:ascii="Arial" w:hAnsi="Arial" w:cs="Arial"/>
          <w:sz w:val="24"/>
          <w:szCs w:val="24"/>
        </w:rPr>
        <w:t>licensed providers contractin</w:t>
      </w:r>
      <w:r w:rsidR="00C53E3F" w:rsidRPr="00EA2149">
        <w:rPr>
          <w:rFonts w:ascii="Arial" w:hAnsi="Arial" w:cs="Arial"/>
          <w:sz w:val="24"/>
          <w:szCs w:val="24"/>
        </w:rPr>
        <w:t xml:space="preserve">g </w:t>
      </w:r>
      <w:r w:rsidR="008642F7" w:rsidRPr="00EA2149">
        <w:rPr>
          <w:rFonts w:ascii="Arial" w:hAnsi="Arial" w:cs="Arial"/>
          <w:sz w:val="24"/>
          <w:szCs w:val="24"/>
        </w:rPr>
        <w:t xml:space="preserve">with </w:t>
      </w:r>
      <w:r w:rsidR="00E9440A" w:rsidRPr="00EA2149">
        <w:rPr>
          <w:rFonts w:ascii="Arial" w:hAnsi="Arial" w:cs="Arial"/>
          <w:sz w:val="24"/>
          <w:szCs w:val="24"/>
        </w:rPr>
        <w:t>a</w:t>
      </w:r>
      <w:r w:rsidR="008642F7" w:rsidRPr="00EA2149">
        <w:rPr>
          <w:rFonts w:ascii="Arial" w:hAnsi="Arial" w:cs="Arial"/>
          <w:sz w:val="24"/>
          <w:szCs w:val="24"/>
        </w:rPr>
        <w:t xml:space="preserve"> plan for the purposes of this threshold, the DMHC </w:t>
      </w:r>
      <w:r w:rsidR="00C26DDC" w:rsidRPr="00EA2149">
        <w:rPr>
          <w:rFonts w:ascii="Arial" w:hAnsi="Arial" w:cs="Arial"/>
          <w:sz w:val="24"/>
          <w:szCs w:val="24"/>
        </w:rPr>
        <w:t>reviewed</w:t>
      </w:r>
      <w:r w:rsidR="008642F7" w:rsidRPr="00EA2149">
        <w:rPr>
          <w:rFonts w:ascii="Arial" w:hAnsi="Arial" w:cs="Arial"/>
          <w:sz w:val="24"/>
          <w:szCs w:val="24"/>
        </w:rPr>
        <w:t xml:space="preserve"> annual network submissions </w:t>
      </w:r>
      <w:r w:rsidR="007E26DB" w:rsidRPr="00EA2149">
        <w:rPr>
          <w:rFonts w:ascii="Arial" w:hAnsi="Arial" w:cs="Arial"/>
          <w:sz w:val="24"/>
          <w:szCs w:val="24"/>
        </w:rPr>
        <w:t xml:space="preserve">from past years </w:t>
      </w:r>
      <w:r w:rsidR="00C26DDC" w:rsidRPr="00EA2149">
        <w:rPr>
          <w:rFonts w:ascii="Arial" w:hAnsi="Arial" w:cs="Arial"/>
          <w:sz w:val="24"/>
          <w:szCs w:val="24"/>
        </w:rPr>
        <w:t>to evaluate</w:t>
      </w:r>
      <w:r w:rsidR="007E26DB" w:rsidRPr="00EA2149">
        <w:rPr>
          <w:rFonts w:ascii="Arial" w:hAnsi="Arial" w:cs="Arial"/>
          <w:sz w:val="24"/>
          <w:szCs w:val="24"/>
        </w:rPr>
        <w:t xml:space="preserve"> </w:t>
      </w:r>
      <w:r w:rsidR="00601B71" w:rsidRPr="00EA2149">
        <w:rPr>
          <w:rFonts w:ascii="Arial" w:hAnsi="Arial" w:cs="Arial"/>
          <w:sz w:val="24"/>
          <w:szCs w:val="24"/>
        </w:rPr>
        <w:t xml:space="preserve">the </w:t>
      </w:r>
      <w:r w:rsidR="00C97508" w:rsidRPr="00EA2149">
        <w:rPr>
          <w:rFonts w:ascii="Arial" w:hAnsi="Arial" w:cs="Arial"/>
          <w:sz w:val="24"/>
          <w:szCs w:val="24"/>
        </w:rPr>
        <w:t xml:space="preserve">typical </w:t>
      </w:r>
      <w:r w:rsidR="00F302D1" w:rsidRPr="00EA2149">
        <w:rPr>
          <w:rFonts w:ascii="Arial" w:hAnsi="Arial" w:cs="Arial"/>
          <w:sz w:val="24"/>
          <w:szCs w:val="24"/>
        </w:rPr>
        <w:t xml:space="preserve">percentage of licensed </w:t>
      </w:r>
      <w:r w:rsidR="008C0015" w:rsidRPr="00EA2149">
        <w:rPr>
          <w:rFonts w:ascii="Arial" w:hAnsi="Arial" w:cs="Arial"/>
          <w:sz w:val="24"/>
          <w:szCs w:val="24"/>
        </w:rPr>
        <w:t>Counseling MHPs</w:t>
      </w:r>
      <w:r w:rsidR="00F302D1" w:rsidRPr="00EA2149">
        <w:rPr>
          <w:rFonts w:ascii="Arial" w:hAnsi="Arial" w:cs="Arial"/>
          <w:sz w:val="24"/>
          <w:szCs w:val="24"/>
        </w:rPr>
        <w:t xml:space="preserve"> </w:t>
      </w:r>
      <w:r w:rsidR="00BE7F6C" w:rsidRPr="00EA2149">
        <w:rPr>
          <w:rFonts w:ascii="Arial" w:hAnsi="Arial" w:cs="Arial"/>
          <w:sz w:val="24"/>
          <w:szCs w:val="24"/>
        </w:rPr>
        <w:t xml:space="preserve">in the county </w:t>
      </w:r>
      <w:r w:rsidR="00F302D1" w:rsidRPr="00EA2149">
        <w:rPr>
          <w:rFonts w:ascii="Arial" w:hAnsi="Arial" w:cs="Arial"/>
          <w:sz w:val="24"/>
          <w:szCs w:val="24"/>
        </w:rPr>
        <w:t xml:space="preserve">included in </w:t>
      </w:r>
      <w:r w:rsidR="004E7089" w:rsidRPr="00EA2149">
        <w:rPr>
          <w:rFonts w:ascii="Arial" w:hAnsi="Arial" w:cs="Arial"/>
          <w:sz w:val="24"/>
          <w:szCs w:val="24"/>
        </w:rPr>
        <w:t>each reported network</w:t>
      </w:r>
      <w:r w:rsidR="0066391A" w:rsidRPr="00EA2149">
        <w:rPr>
          <w:rFonts w:ascii="Arial" w:hAnsi="Arial" w:cs="Arial"/>
          <w:sz w:val="24"/>
          <w:szCs w:val="24"/>
        </w:rPr>
        <w:t>,</w:t>
      </w:r>
      <w:r w:rsidR="004E7089" w:rsidRPr="00EA2149">
        <w:rPr>
          <w:rFonts w:ascii="Arial" w:hAnsi="Arial" w:cs="Arial"/>
          <w:sz w:val="24"/>
          <w:szCs w:val="24"/>
        </w:rPr>
        <w:t xml:space="preserve"> and how </w:t>
      </w:r>
      <w:r w:rsidR="0066391A" w:rsidRPr="00EA2149">
        <w:rPr>
          <w:rFonts w:ascii="Arial" w:hAnsi="Arial" w:cs="Arial"/>
          <w:sz w:val="24"/>
          <w:szCs w:val="24"/>
        </w:rPr>
        <w:t xml:space="preserve">each </w:t>
      </w:r>
      <w:r w:rsidR="004E7089" w:rsidRPr="00EA2149">
        <w:rPr>
          <w:rFonts w:ascii="Arial" w:hAnsi="Arial" w:cs="Arial"/>
          <w:sz w:val="24"/>
          <w:szCs w:val="24"/>
        </w:rPr>
        <w:t>network fared in the mental hea</w:t>
      </w:r>
      <w:r w:rsidR="0066391A" w:rsidRPr="00EA2149">
        <w:rPr>
          <w:rFonts w:ascii="Arial" w:hAnsi="Arial" w:cs="Arial"/>
          <w:sz w:val="24"/>
          <w:szCs w:val="24"/>
        </w:rPr>
        <w:t>l</w:t>
      </w:r>
      <w:r w:rsidR="004E7089" w:rsidRPr="00EA2149">
        <w:rPr>
          <w:rFonts w:ascii="Arial" w:hAnsi="Arial" w:cs="Arial"/>
          <w:sz w:val="24"/>
          <w:szCs w:val="24"/>
        </w:rPr>
        <w:t>th network adequacy review. Based on that review, the DMHC</w:t>
      </w:r>
      <w:r w:rsidR="00517E42" w:rsidRPr="00EA2149">
        <w:rPr>
          <w:rFonts w:ascii="Arial" w:hAnsi="Arial" w:cs="Arial"/>
          <w:sz w:val="24"/>
          <w:szCs w:val="24"/>
        </w:rPr>
        <w:t xml:space="preserve"> </w:t>
      </w:r>
      <w:r w:rsidR="004E7089" w:rsidRPr="00EA2149">
        <w:rPr>
          <w:rFonts w:ascii="Arial" w:hAnsi="Arial" w:cs="Arial"/>
          <w:sz w:val="24"/>
          <w:szCs w:val="24"/>
        </w:rPr>
        <w:t xml:space="preserve">determined that </w:t>
      </w:r>
      <w:r w:rsidR="000D78BB" w:rsidRPr="00EA2149">
        <w:rPr>
          <w:rFonts w:ascii="Arial" w:hAnsi="Arial" w:cs="Arial"/>
          <w:sz w:val="24"/>
          <w:szCs w:val="24"/>
        </w:rPr>
        <w:t xml:space="preserve">networks operating in </w:t>
      </w:r>
      <w:r w:rsidR="006B4F7A" w:rsidRPr="00EA2149">
        <w:rPr>
          <w:rFonts w:ascii="Arial" w:hAnsi="Arial" w:cs="Arial"/>
          <w:sz w:val="24"/>
          <w:szCs w:val="24"/>
        </w:rPr>
        <w:t>Large Metro, Metro</w:t>
      </w:r>
      <w:r w:rsidR="002F5E52" w:rsidRPr="00EA2149">
        <w:rPr>
          <w:rFonts w:ascii="Arial" w:hAnsi="Arial" w:cs="Arial"/>
          <w:sz w:val="24"/>
          <w:szCs w:val="24"/>
        </w:rPr>
        <w:t>,</w:t>
      </w:r>
      <w:r w:rsidR="006B4F7A" w:rsidRPr="00EA2149">
        <w:rPr>
          <w:rFonts w:ascii="Arial" w:hAnsi="Arial" w:cs="Arial"/>
          <w:sz w:val="24"/>
          <w:szCs w:val="24"/>
        </w:rPr>
        <w:t xml:space="preserve"> and Micro counties</w:t>
      </w:r>
      <w:r w:rsidR="00EE468F" w:rsidRPr="00EA2149">
        <w:rPr>
          <w:rFonts w:ascii="Arial" w:hAnsi="Arial" w:cs="Arial"/>
          <w:sz w:val="24"/>
          <w:szCs w:val="24"/>
        </w:rPr>
        <w:t xml:space="preserve"> </w:t>
      </w:r>
      <w:r w:rsidR="004E7089" w:rsidRPr="00EA2149">
        <w:rPr>
          <w:rFonts w:ascii="Arial" w:hAnsi="Arial" w:cs="Arial"/>
          <w:sz w:val="24"/>
          <w:szCs w:val="24"/>
        </w:rPr>
        <w:t xml:space="preserve">that </w:t>
      </w:r>
      <w:r w:rsidR="000D78BB" w:rsidRPr="00EA2149">
        <w:rPr>
          <w:rFonts w:ascii="Arial" w:hAnsi="Arial" w:cs="Arial"/>
          <w:sz w:val="24"/>
          <w:szCs w:val="24"/>
        </w:rPr>
        <w:t xml:space="preserve">contract with at least 30% of licensed Counseling MHPs </w:t>
      </w:r>
      <w:r w:rsidR="006A5964" w:rsidRPr="00EA2149">
        <w:rPr>
          <w:rFonts w:ascii="Arial" w:hAnsi="Arial" w:cs="Arial"/>
          <w:sz w:val="24"/>
          <w:szCs w:val="24"/>
        </w:rPr>
        <w:t xml:space="preserve">demonstrated </w:t>
      </w:r>
      <w:r w:rsidR="00BE1CF7" w:rsidRPr="00EA2149">
        <w:rPr>
          <w:rFonts w:ascii="Arial" w:hAnsi="Arial" w:cs="Arial"/>
          <w:sz w:val="24"/>
          <w:szCs w:val="24"/>
        </w:rPr>
        <w:t xml:space="preserve">reasonable access to </w:t>
      </w:r>
      <w:r w:rsidR="001C5E8D" w:rsidRPr="00EA2149">
        <w:rPr>
          <w:rFonts w:ascii="Arial" w:hAnsi="Arial" w:cs="Arial"/>
          <w:sz w:val="24"/>
          <w:szCs w:val="24"/>
        </w:rPr>
        <w:t xml:space="preserve">mental health services in the </w:t>
      </w:r>
      <w:r w:rsidR="00C46837" w:rsidRPr="00EA2149">
        <w:rPr>
          <w:rFonts w:ascii="Arial" w:hAnsi="Arial" w:cs="Arial"/>
          <w:sz w:val="24"/>
          <w:szCs w:val="24"/>
        </w:rPr>
        <w:t>DMHC’s</w:t>
      </w:r>
      <w:r w:rsidR="001C5E8D" w:rsidRPr="00EA2149">
        <w:rPr>
          <w:rFonts w:ascii="Arial" w:hAnsi="Arial" w:cs="Arial"/>
          <w:sz w:val="24"/>
          <w:szCs w:val="24"/>
        </w:rPr>
        <w:t xml:space="preserve"> </w:t>
      </w:r>
      <w:r w:rsidR="00CC4A35" w:rsidRPr="00EA2149">
        <w:rPr>
          <w:rFonts w:ascii="Arial" w:hAnsi="Arial" w:cs="Arial"/>
          <w:sz w:val="24"/>
          <w:szCs w:val="24"/>
        </w:rPr>
        <w:t xml:space="preserve">Annual Network Review. </w:t>
      </w:r>
      <w:r w:rsidR="00D718DB" w:rsidRPr="00EA2149">
        <w:rPr>
          <w:rFonts w:ascii="Arial" w:hAnsi="Arial" w:cs="Arial"/>
          <w:sz w:val="24"/>
          <w:szCs w:val="24"/>
        </w:rPr>
        <w:t xml:space="preserve">Based on the number of </w:t>
      </w:r>
      <w:r w:rsidR="00972B95" w:rsidRPr="00EA2149">
        <w:rPr>
          <w:rFonts w:ascii="Arial" w:hAnsi="Arial" w:cs="Arial"/>
          <w:sz w:val="24"/>
          <w:szCs w:val="24"/>
        </w:rPr>
        <w:t xml:space="preserve">networks that </w:t>
      </w:r>
      <w:r w:rsidR="00CD1C58" w:rsidRPr="00EA2149">
        <w:rPr>
          <w:rFonts w:ascii="Arial" w:hAnsi="Arial" w:cs="Arial"/>
          <w:sz w:val="24"/>
          <w:szCs w:val="24"/>
        </w:rPr>
        <w:t>were able to</w:t>
      </w:r>
      <w:r w:rsidR="006F0DF5" w:rsidRPr="00EA2149">
        <w:rPr>
          <w:rFonts w:ascii="Arial" w:hAnsi="Arial" w:cs="Arial"/>
          <w:sz w:val="24"/>
          <w:szCs w:val="24"/>
        </w:rPr>
        <w:t xml:space="preserve"> </w:t>
      </w:r>
      <w:r w:rsidR="00CB4C40" w:rsidRPr="00EA2149">
        <w:rPr>
          <w:rFonts w:ascii="Arial" w:hAnsi="Arial" w:cs="Arial"/>
          <w:sz w:val="24"/>
          <w:szCs w:val="24"/>
        </w:rPr>
        <w:t xml:space="preserve">contract with at least </w:t>
      </w:r>
      <w:r w:rsidR="00BF597E" w:rsidRPr="00EA2149">
        <w:rPr>
          <w:rFonts w:ascii="Arial" w:hAnsi="Arial" w:cs="Arial"/>
          <w:sz w:val="24"/>
          <w:szCs w:val="24"/>
        </w:rPr>
        <w:t>30% of licensed Counseling MHP</w:t>
      </w:r>
      <w:r w:rsidR="00B220A6" w:rsidRPr="00EA2149">
        <w:rPr>
          <w:rFonts w:ascii="Arial" w:hAnsi="Arial" w:cs="Arial"/>
          <w:sz w:val="24"/>
          <w:szCs w:val="24"/>
        </w:rPr>
        <w:t>s</w:t>
      </w:r>
      <w:r w:rsidR="00BF597E" w:rsidRPr="00EA2149">
        <w:rPr>
          <w:rFonts w:ascii="Arial" w:hAnsi="Arial" w:cs="Arial"/>
          <w:sz w:val="24"/>
          <w:szCs w:val="24"/>
        </w:rPr>
        <w:t xml:space="preserve">, </w:t>
      </w:r>
      <w:r w:rsidR="00B220A6" w:rsidRPr="00EA2149">
        <w:rPr>
          <w:rFonts w:ascii="Arial" w:hAnsi="Arial" w:cs="Arial"/>
          <w:sz w:val="24"/>
          <w:szCs w:val="24"/>
        </w:rPr>
        <w:t xml:space="preserve">and </w:t>
      </w:r>
      <w:r w:rsidR="009A6CC8" w:rsidRPr="00EA2149">
        <w:rPr>
          <w:rFonts w:ascii="Arial" w:hAnsi="Arial" w:cs="Arial"/>
          <w:sz w:val="24"/>
          <w:szCs w:val="24"/>
        </w:rPr>
        <w:t xml:space="preserve">their success in demonstrating reasonable access to mental health services, </w:t>
      </w:r>
      <w:r w:rsidR="00BF597E" w:rsidRPr="00EA2149">
        <w:rPr>
          <w:rFonts w:ascii="Arial" w:hAnsi="Arial" w:cs="Arial"/>
          <w:sz w:val="24"/>
          <w:szCs w:val="24"/>
        </w:rPr>
        <w:t xml:space="preserve">this threshold </w:t>
      </w:r>
      <w:r w:rsidR="003363FD" w:rsidRPr="00EA2149">
        <w:rPr>
          <w:rFonts w:ascii="Arial" w:hAnsi="Arial" w:cs="Arial"/>
          <w:sz w:val="24"/>
          <w:szCs w:val="24"/>
        </w:rPr>
        <w:t>appear</w:t>
      </w:r>
      <w:r w:rsidR="009A6CC8" w:rsidRPr="00EA2149">
        <w:rPr>
          <w:rFonts w:ascii="Arial" w:hAnsi="Arial" w:cs="Arial"/>
          <w:sz w:val="24"/>
          <w:szCs w:val="24"/>
        </w:rPr>
        <w:t>ed</w:t>
      </w:r>
      <w:r w:rsidR="003363FD" w:rsidRPr="00EA2149">
        <w:rPr>
          <w:rFonts w:ascii="Arial" w:hAnsi="Arial" w:cs="Arial"/>
          <w:sz w:val="24"/>
          <w:szCs w:val="24"/>
        </w:rPr>
        <w:t xml:space="preserve"> to be achievable and </w:t>
      </w:r>
      <w:r w:rsidR="00887580" w:rsidRPr="00EA2149">
        <w:rPr>
          <w:rFonts w:ascii="Arial" w:hAnsi="Arial" w:cs="Arial"/>
          <w:sz w:val="24"/>
          <w:szCs w:val="24"/>
        </w:rPr>
        <w:t xml:space="preserve">represented </w:t>
      </w:r>
      <w:r w:rsidR="006B4F7A" w:rsidRPr="00EA2149">
        <w:rPr>
          <w:rFonts w:ascii="Arial" w:hAnsi="Arial" w:cs="Arial"/>
          <w:sz w:val="24"/>
          <w:szCs w:val="24"/>
        </w:rPr>
        <w:t>reasonable contracting efforts</w:t>
      </w:r>
      <w:r w:rsidR="005A53B0" w:rsidRPr="00EA2149">
        <w:rPr>
          <w:rFonts w:ascii="Arial" w:hAnsi="Arial" w:cs="Arial"/>
          <w:sz w:val="24"/>
          <w:szCs w:val="24"/>
        </w:rPr>
        <w:t>.</w:t>
      </w:r>
    </w:p>
    <w:p w14:paraId="7D705F57" w14:textId="33D22B1B" w:rsidR="009616B4" w:rsidRPr="00FD44A0" w:rsidRDefault="009616B4" w:rsidP="000312BE">
      <w:pPr>
        <w:spacing w:after="240"/>
        <w:ind w:left="720"/>
        <w:rPr>
          <w:rFonts w:ascii="Arial" w:hAnsi="Arial" w:cs="Arial"/>
          <w:sz w:val="24"/>
          <w:szCs w:val="24"/>
        </w:rPr>
      </w:pPr>
      <w:r w:rsidRPr="00EA2149">
        <w:rPr>
          <w:rFonts w:ascii="Arial" w:hAnsi="Arial" w:cs="Arial"/>
          <w:sz w:val="24"/>
          <w:szCs w:val="24"/>
        </w:rPr>
        <w:t>Additionally,</w:t>
      </w:r>
      <w:r w:rsidRPr="00EA2149" w:rsidDel="00BC7DBC">
        <w:rPr>
          <w:rFonts w:ascii="Arial" w:hAnsi="Arial" w:cs="Arial"/>
          <w:sz w:val="24"/>
          <w:szCs w:val="24"/>
        </w:rPr>
        <w:t xml:space="preserve"> </w:t>
      </w:r>
      <w:r w:rsidRPr="00EA2149">
        <w:rPr>
          <w:rFonts w:ascii="Arial" w:hAnsi="Arial" w:cs="Arial"/>
          <w:sz w:val="24"/>
          <w:szCs w:val="24"/>
        </w:rPr>
        <w:t>often a large percentage of licensed Counseling MHPs in a county are not contracted with managed care for various reasons</w:t>
      </w:r>
      <w:r w:rsidR="00BC7DBC" w:rsidRPr="00EA2149">
        <w:rPr>
          <w:rFonts w:ascii="Arial" w:hAnsi="Arial" w:cs="Arial"/>
          <w:sz w:val="24"/>
          <w:szCs w:val="24"/>
        </w:rPr>
        <w:t xml:space="preserve">, including </w:t>
      </w:r>
      <w:r w:rsidR="00E80E2B" w:rsidRPr="00EA2149">
        <w:rPr>
          <w:rFonts w:ascii="Arial" w:hAnsi="Arial" w:cs="Arial"/>
          <w:sz w:val="24"/>
          <w:szCs w:val="24"/>
        </w:rPr>
        <w:t xml:space="preserve">choosing to </w:t>
      </w:r>
      <w:r w:rsidR="00E80E2B" w:rsidRPr="00EA2149">
        <w:rPr>
          <w:rFonts w:ascii="Arial" w:hAnsi="Arial" w:cs="Arial"/>
          <w:sz w:val="24"/>
          <w:szCs w:val="24"/>
        </w:rPr>
        <w:lastRenderedPageBreak/>
        <w:t>only accept private pay clients, contracting only with Medi</w:t>
      </w:r>
      <w:r w:rsidR="00E80E2B" w:rsidRPr="00FD44A0">
        <w:rPr>
          <w:rFonts w:ascii="Arial" w:hAnsi="Arial" w:cs="Arial"/>
          <w:sz w:val="24"/>
          <w:szCs w:val="24"/>
        </w:rPr>
        <w:t xml:space="preserve">-Cal or Medicare, or </w:t>
      </w:r>
      <w:r w:rsidR="009E60E6" w:rsidRPr="00FD44A0">
        <w:rPr>
          <w:rFonts w:ascii="Arial" w:hAnsi="Arial" w:cs="Arial"/>
          <w:sz w:val="24"/>
          <w:szCs w:val="24"/>
        </w:rPr>
        <w:t>contracting with plans that are not regulated by the DMHC</w:t>
      </w:r>
      <w:r w:rsidRPr="00FD44A0">
        <w:rPr>
          <w:rFonts w:ascii="Arial" w:hAnsi="Arial" w:cs="Arial"/>
          <w:sz w:val="24"/>
          <w:szCs w:val="24"/>
        </w:rPr>
        <w:t>.</w:t>
      </w:r>
    </w:p>
    <w:p w14:paraId="53C3D073" w14:textId="74B3E58B" w:rsidR="00554B46" w:rsidRPr="00EA2149" w:rsidRDefault="00554B46" w:rsidP="005C63A7">
      <w:pPr>
        <w:spacing w:after="600"/>
        <w:ind w:left="720"/>
        <w:rPr>
          <w:rFonts w:ascii="Arial" w:hAnsi="Arial" w:cs="Arial"/>
          <w:sz w:val="24"/>
          <w:szCs w:val="24"/>
        </w:rPr>
      </w:pPr>
      <w:r w:rsidRPr="00EA2149">
        <w:rPr>
          <w:rFonts w:ascii="Arial" w:hAnsi="Arial" w:cs="Arial"/>
          <w:sz w:val="24"/>
          <w:szCs w:val="24"/>
        </w:rPr>
        <w:t>The D</w:t>
      </w:r>
      <w:r w:rsidR="00EF7689" w:rsidRPr="00EA2149">
        <w:rPr>
          <w:rFonts w:ascii="Arial" w:hAnsi="Arial" w:cs="Arial"/>
          <w:sz w:val="24"/>
          <w:szCs w:val="24"/>
        </w:rPr>
        <w:t>MHC</w:t>
      </w:r>
      <w:r w:rsidRPr="00EA2149">
        <w:rPr>
          <w:rFonts w:ascii="Arial" w:hAnsi="Arial" w:cs="Arial"/>
          <w:sz w:val="24"/>
          <w:szCs w:val="24"/>
        </w:rPr>
        <w:t xml:space="preserve"> will continue to examine the alternative </w:t>
      </w:r>
      <w:r w:rsidR="00027AF5" w:rsidRPr="00EA2149">
        <w:rPr>
          <w:rFonts w:ascii="Arial" w:hAnsi="Arial" w:cs="Arial"/>
          <w:sz w:val="24"/>
          <w:szCs w:val="24"/>
        </w:rPr>
        <w:t>review methodology</w:t>
      </w:r>
      <w:r w:rsidRPr="00EA2149">
        <w:rPr>
          <w:rFonts w:ascii="Arial" w:hAnsi="Arial" w:cs="Arial"/>
          <w:sz w:val="24"/>
          <w:szCs w:val="24"/>
        </w:rPr>
        <w:t>, to ensure that plans are incentivized to contract with available and accessible Counseling MHPs throughout the network service area.</w:t>
      </w:r>
    </w:p>
    <w:p w14:paraId="57E43D2D" w14:textId="31698A39" w:rsidR="00C4786B" w:rsidRPr="00E255E7" w:rsidRDefault="00BB7152" w:rsidP="003D2670">
      <w:pPr>
        <w:pStyle w:val="ListParagraph"/>
        <w:numPr>
          <w:ilvl w:val="0"/>
          <w:numId w:val="13"/>
        </w:numPr>
        <w:spacing w:after="240"/>
        <w:contextualSpacing w:val="0"/>
        <w:rPr>
          <w:rFonts w:ascii="Arial" w:hAnsi="Arial" w:cs="Arial"/>
          <w:b/>
          <w:bCs/>
          <w:sz w:val="24"/>
          <w:szCs w:val="24"/>
        </w:rPr>
      </w:pPr>
      <w:r w:rsidRPr="00E255E7">
        <w:rPr>
          <w:rFonts w:ascii="Arial" w:hAnsi="Arial" w:cs="Arial"/>
          <w:b/>
          <w:bCs/>
          <w:sz w:val="24"/>
          <w:szCs w:val="24"/>
        </w:rPr>
        <w:t xml:space="preserve">Why does the Counseling </w:t>
      </w:r>
      <w:r w:rsidR="00641978" w:rsidRPr="00E255E7">
        <w:rPr>
          <w:rFonts w:ascii="Arial" w:hAnsi="Arial" w:cs="Arial"/>
          <w:b/>
          <w:bCs/>
          <w:sz w:val="24"/>
          <w:szCs w:val="24"/>
        </w:rPr>
        <w:t xml:space="preserve">Non-Physician Mental Health Professional </w:t>
      </w:r>
      <w:r w:rsidRPr="00E255E7">
        <w:rPr>
          <w:rFonts w:ascii="Arial" w:hAnsi="Arial" w:cs="Arial"/>
          <w:b/>
          <w:bCs/>
          <w:sz w:val="24"/>
          <w:szCs w:val="24"/>
        </w:rPr>
        <w:t xml:space="preserve">Ratio Standards and Methodology assign a minimum enrollment </w:t>
      </w:r>
      <w:r w:rsidR="00E902F9" w:rsidRPr="00E255E7">
        <w:rPr>
          <w:rFonts w:ascii="Arial" w:hAnsi="Arial" w:cs="Arial"/>
          <w:b/>
          <w:bCs/>
          <w:sz w:val="24"/>
          <w:szCs w:val="24"/>
        </w:rPr>
        <w:t xml:space="preserve">count </w:t>
      </w:r>
      <w:r w:rsidR="00641978" w:rsidRPr="00E255E7">
        <w:rPr>
          <w:rFonts w:ascii="Arial" w:hAnsi="Arial" w:cs="Arial"/>
          <w:b/>
          <w:bCs/>
          <w:sz w:val="24"/>
          <w:szCs w:val="24"/>
        </w:rPr>
        <w:t>to</w:t>
      </w:r>
      <w:r w:rsidR="00E902F9" w:rsidRPr="00E255E7">
        <w:rPr>
          <w:rFonts w:ascii="Arial" w:hAnsi="Arial" w:cs="Arial"/>
          <w:b/>
          <w:bCs/>
          <w:sz w:val="24"/>
          <w:szCs w:val="24"/>
        </w:rPr>
        <w:t xml:space="preserve"> a</w:t>
      </w:r>
      <w:r w:rsidR="00641978" w:rsidRPr="00E255E7">
        <w:rPr>
          <w:rFonts w:ascii="Arial" w:hAnsi="Arial" w:cs="Arial"/>
          <w:b/>
          <w:bCs/>
          <w:sz w:val="24"/>
          <w:szCs w:val="24"/>
        </w:rPr>
        <w:t xml:space="preserve"> count</w:t>
      </w:r>
      <w:r w:rsidR="00E902F9" w:rsidRPr="00E255E7">
        <w:rPr>
          <w:rFonts w:ascii="Arial" w:hAnsi="Arial" w:cs="Arial"/>
          <w:b/>
          <w:bCs/>
          <w:sz w:val="24"/>
          <w:szCs w:val="24"/>
        </w:rPr>
        <w:t>y</w:t>
      </w:r>
      <w:r w:rsidR="00D61575" w:rsidRPr="00E255E7">
        <w:rPr>
          <w:rFonts w:ascii="Arial" w:hAnsi="Arial" w:cs="Arial"/>
          <w:b/>
          <w:bCs/>
          <w:sz w:val="24"/>
          <w:szCs w:val="24"/>
        </w:rPr>
        <w:t xml:space="preserve"> </w:t>
      </w:r>
      <w:r w:rsidR="00E902F9" w:rsidRPr="00E255E7">
        <w:rPr>
          <w:rFonts w:ascii="Arial" w:hAnsi="Arial" w:cs="Arial"/>
          <w:b/>
          <w:bCs/>
          <w:sz w:val="24"/>
          <w:szCs w:val="24"/>
        </w:rPr>
        <w:t xml:space="preserve">within the network service area, </w:t>
      </w:r>
      <w:r w:rsidR="00D61575" w:rsidRPr="00E255E7">
        <w:rPr>
          <w:rFonts w:ascii="Arial" w:hAnsi="Arial" w:cs="Arial"/>
          <w:b/>
          <w:bCs/>
          <w:sz w:val="24"/>
          <w:szCs w:val="24"/>
        </w:rPr>
        <w:t>when a</w:t>
      </w:r>
      <w:r w:rsidRPr="00E255E7">
        <w:rPr>
          <w:rFonts w:ascii="Arial" w:hAnsi="Arial" w:cs="Arial"/>
          <w:b/>
          <w:bCs/>
          <w:sz w:val="24"/>
          <w:szCs w:val="24"/>
        </w:rPr>
        <w:t xml:space="preserve"> plan</w:t>
      </w:r>
      <w:r w:rsidR="00D61575" w:rsidRPr="00E255E7">
        <w:rPr>
          <w:rFonts w:ascii="Arial" w:hAnsi="Arial" w:cs="Arial"/>
          <w:b/>
          <w:bCs/>
          <w:sz w:val="24"/>
          <w:szCs w:val="24"/>
        </w:rPr>
        <w:t xml:space="preserve"> has </w:t>
      </w:r>
      <w:r w:rsidR="00E902F9" w:rsidRPr="00E255E7">
        <w:rPr>
          <w:rFonts w:ascii="Arial" w:hAnsi="Arial" w:cs="Arial"/>
          <w:b/>
          <w:bCs/>
          <w:sz w:val="24"/>
          <w:szCs w:val="24"/>
        </w:rPr>
        <w:t xml:space="preserve">little or </w:t>
      </w:r>
      <w:r w:rsidR="00D61575" w:rsidRPr="00E255E7">
        <w:rPr>
          <w:rFonts w:ascii="Arial" w:hAnsi="Arial" w:cs="Arial"/>
          <w:b/>
          <w:bCs/>
          <w:sz w:val="24"/>
          <w:szCs w:val="24"/>
        </w:rPr>
        <w:t>no enrollment in the county?</w:t>
      </w:r>
    </w:p>
    <w:p w14:paraId="117CDF7B" w14:textId="016CC45B" w:rsidR="00BB7152" w:rsidRPr="00EA2149" w:rsidRDefault="00BB7152" w:rsidP="003D2670">
      <w:pPr>
        <w:spacing w:after="240"/>
        <w:ind w:left="720"/>
        <w:rPr>
          <w:rFonts w:ascii="Arial" w:hAnsi="Arial" w:cs="Arial"/>
          <w:sz w:val="24"/>
          <w:szCs w:val="24"/>
        </w:rPr>
      </w:pPr>
      <w:r w:rsidRPr="00EA2149">
        <w:rPr>
          <w:rFonts w:ascii="Arial" w:hAnsi="Arial" w:cs="Arial"/>
          <w:sz w:val="24"/>
          <w:szCs w:val="24"/>
        </w:rPr>
        <w:t xml:space="preserve">Once a plan is licensed and becomes operational, it is authorized to sell its product anywhere within the geographic bounds of its network service area. As a result, the </w:t>
      </w:r>
      <w:r w:rsidR="00A1677E" w:rsidRPr="00EA2149">
        <w:rPr>
          <w:rFonts w:ascii="Arial" w:hAnsi="Arial" w:cs="Arial"/>
          <w:sz w:val="24"/>
          <w:szCs w:val="24"/>
        </w:rPr>
        <w:t>DMHC</w:t>
      </w:r>
      <w:r w:rsidRPr="00EA2149">
        <w:rPr>
          <w:rFonts w:ascii="Arial" w:hAnsi="Arial" w:cs="Arial"/>
          <w:sz w:val="24"/>
          <w:szCs w:val="24"/>
        </w:rPr>
        <w:t xml:space="preserve"> must be continually assured that the plan can provide adequate access to services wherever population may exist within its approved network service area, as the plan may at any time sell a health care product to an enrollee anywhere within the approved service area. To ensure that networks have sufficient capacity to meet </w:t>
      </w:r>
      <w:r w:rsidR="00E52F42" w:rsidRPr="00EA2149">
        <w:rPr>
          <w:rFonts w:ascii="Arial" w:hAnsi="Arial" w:cs="Arial"/>
          <w:sz w:val="24"/>
          <w:szCs w:val="24"/>
        </w:rPr>
        <w:t xml:space="preserve">enrollee </w:t>
      </w:r>
      <w:r w:rsidR="005869F2" w:rsidRPr="00EA2149">
        <w:rPr>
          <w:rFonts w:ascii="Arial" w:hAnsi="Arial" w:cs="Arial"/>
          <w:sz w:val="24"/>
          <w:szCs w:val="24"/>
        </w:rPr>
        <w:t>needs</w:t>
      </w:r>
      <w:r w:rsidRPr="00EA2149">
        <w:rPr>
          <w:rFonts w:ascii="Arial" w:hAnsi="Arial" w:cs="Arial"/>
          <w:sz w:val="24"/>
          <w:szCs w:val="24"/>
        </w:rPr>
        <w:t xml:space="preserve"> if the network were to add enrollment in the</w:t>
      </w:r>
      <w:r w:rsidR="00231DAF" w:rsidRPr="00EA2149">
        <w:rPr>
          <w:rFonts w:ascii="Arial" w:hAnsi="Arial" w:cs="Arial"/>
          <w:sz w:val="24"/>
          <w:szCs w:val="24"/>
        </w:rPr>
        <w:t>se portions of the</w:t>
      </w:r>
      <w:r w:rsidRPr="00EA2149">
        <w:rPr>
          <w:rFonts w:ascii="Arial" w:hAnsi="Arial" w:cs="Arial"/>
          <w:sz w:val="24"/>
          <w:szCs w:val="24"/>
        </w:rPr>
        <w:t xml:space="preserve"> network service area, minimum enrollment levels are assigned by county types</w:t>
      </w:r>
      <w:r w:rsidR="00C302C7" w:rsidRPr="00EA2149">
        <w:rPr>
          <w:rFonts w:ascii="Arial" w:hAnsi="Arial" w:cs="Arial"/>
          <w:sz w:val="24"/>
          <w:szCs w:val="24"/>
        </w:rPr>
        <w:t xml:space="preserve">. </w:t>
      </w:r>
      <w:r w:rsidRPr="00EA2149">
        <w:rPr>
          <w:rFonts w:ascii="Arial" w:hAnsi="Arial" w:cs="Arial"/>
          <w:sz w:val="24"/>
          <w:szCs w:val="24"/>
        </w:rPr>
        <w:t xml:space="preserve">These values are well below the typical enrollment levels of a product line or network. The DMHC has </w:t>
      </w:r>
      <w:r w:rsidR="004E1C48" w:rsidRPr="00EA2149">
        <w:rPr>
          <w:rFonts w:ascii="Arial" w:hAnsi="Arial" w:cs="Arial"/>
          <w:sz w:val="24"/>
          <w:szCs w:val="24"/>
        </w:rPr>
        <w:t>revised</w:t>
      </w:r>
      <w:r w:rsidRPr="00EA2149">
        <w:rPr>
          <w:rFonts w:ascii="Arial" w:hAnsi="Arial" w:cs="Arial"/>
          <w:sz w:val="24"/>
          <w:szCs w:val="24"/>
        </w:rPr>
        <w:t xml:space="preserve"> the minimum enrollment counts </w:t>
      </w:r>
      <w:r w:rsidR="004E1C48" w:rsidRPr="00EA2149">
        <w:rPr>
          <w:rFonts w:ascii="Arial" w:hAnsi="Arial" w:cs="Arial"/>
          <w:sz w:val="24"/>
          <w:szCs w:val="24"/>
        </w:rPr>
        <w:t xml:space="preserve">assigned </w:t>
      </w:r>
      <w:r w:rsidRPr="00EA2149">
        <w:rPr>
          <w:rFonts w:ascii="Arial" w:hAnsi="Arial" w:cs="Arial"/>
          <w:sz w:val="24"/>
          <w:szCs w:val="24"/>
        </w:rPr>
        <w:t>to 25 enrollees for CEAC counties, and 50 enrollees for Rural, Metro</w:t>
      </w:r>
      <w:r w:rsidR="003C6FA1" w:rsidRPr="00EA2149">
        <w:rPr>
          <w:rFonts w:ascii="Arial" w:hAnsi="Arial" w:cs="Arial"/>
          <w:sz w:val="24"/>
          <w:szCs w:val="24"/>
        </w:rPr>
        <w:t>,</w:t>
      </w:r>
      <w:r w:rsidRPr="00EA2149">
        <w:rPr>
          <w:rFonts w:ascii="Arial" w:hAnsi="Arial" w:cs="Arial"/>
          <w:sz w:val="24"/>
          <w:szCs w:val="24"/>
        </w:rPr>
        <w:t xml:space="preserve"> and Micro counties</w:t>
      </w:r>
      <w:r w:rsidR="00C302C7" w:rsidRPr="00EA2149">
        <w:rPr>
          <w:rFonts w:ascii="Arial" w:hAnsi="Arial" w:cs="Arial"/>
          <w:sz w:val="24"/>
          <w:szCs w:val="24"/>
        </w:rPr>
        <w:t>. The</w:t>
      </w:r>
      <w:r w:rsidRPr="00EA2149">
        <w:rPr>
          <w:rFonts w:ascii="Arial" w:hAnsi="Arial" w:cs="Arial"/>
          <w:sz w:val="24"/>
          <w:szCs w:val="24"/>
        </w:rPr>
        <w:t xml:space="preserve"> enrollment values assigned are intended to be nominal to require the minimal levels of network adequacy within the entire network service area.</w:t>
      </w:r>
    </w:p>
    <w:p w14:paraId="16F2549C" w14:textId="7E347207" w:rsidR="00BB7152" w:rsidRPr="00EA2149" w:rsidRDefault="002F345D" w:rsidP="003D2670">
      <w:pPr>
        <w:spacing w:after="600"/>
        <w:ind w:left="720"/>
        <w:rPr>
          <w:rFonts w:ascii="Arial" w:hAnsi="Arial" w:cs="Arial"/>
          <w:sz w:val="24"/>
          <w:szCs w:val="24"/>
        </w:rPr>
      </w:pPr>
      <w:r w:rsidRPr="00EA2149">
        <w:rPr>
          <w:rFonts w:ascii="Arial" w:hAnsi="Arial" w:cs="Arial"/>
          <w:sz w:val="24"/>
          <w:szCs w:val="24"/>
        </w:rPr>
        <w:t xml:space="preserve">Plans that have </w:t>
      </w:r>
      <w:r w:rsidR="00BB7152" w:rsidRPr="00EA2149">
        <w:rPr>
          <w:rFonts w:ascii="Arial" w:hAnsi="Arial" w:cs="Arial"/>
          <w:sz w:val="24"/>
          <w:szCs w:val="24"/>
        </w:rPr>
        <w:t xml:space="preserve">no enrollment in the entire </w:t>
      </w:r>
      <w:r w:rsidRPr="00EA2149">
        <w:rPr>
          <w:rFonts w:ascii="Arial" w:hAnsi="Arial" w:cs="Arial"/>
          <w:sz w:val="24"/>
          <w:szCs w:val="24"/>
        </w:rPr>
        <w:t>network or</w:t>
      </w:r>
      <w:r w:rsidR="00BB7152" w:rsidRPr="00EA2149">
        <w:rPr>
          <w:rFonts w:ascii="Arial" w:hAnsi="Arial" w:cs="Arial"/>
          <w:sz w:val="24"/>
          <w:szCs w:val="24"/>
        </w:rPr>
        <w:t xml:space="preserve"> will have no enrollment on the network capture date may apply in advance for a waiver from </w:t>
      </w:r>
      <w:r w:rsidRPr="00EA2149">
        <w:rPr>
          <w:rFonts w:ascii="Arial" w:hAnsi="Arial" w:cs="Arial"/>
          <w:sz w:val="24"/>
          <w:szCs w:val="24"/>
        </w:rPr>
        <w:t xml:space="preserve">the </w:t>
      </w:r>
      <w:r w:rsidR="00BB7152" w:rsidRPr="00EA2149">
        <w:rPr>
          <w:rFonts w:ascii="Arial" w:hAnsi="Arial" w:cs="Arial"/>
          <w:sz w:val="24"/>
          <w:szCs w:val="24"/>
        </w:rPr>
        <w:t>Annual Network Report</w:t>
      </w:r>
      <w:r w:rsidRPr="00EA2149">
        <w:rPr>
          <w:rFonts w:ascii="Arial" w:hAnsi="Arial" w:cs="Arial"/>
          <w:sz w:val="24"/>
          <w:szCs w:val="24"/>
        </w:rPr>
        <w:t xml:space="preserve"> submission </w:t>
      </w:r>
      <w:r w:rsidR="00BB7152" w:rsidRPr="00EA2149">
        <w:rPr>
          <w:rFonts w:ascii="Arial" w:hAnsi="Arial" w:cs="Arial"/>
          <w:sz w:val="24"/>
          <w:szCs w:val="24"/>
        </w:rPr>
        <w:t>for the reporting year. Please see the RY 2024 Annual Network Submission Instruction Manual, incorporated in Rule 1300.67.2.2, for details.</w:t>
      </w:r>
      <w:r w:rsidR="00330BBD" w:rsidRPr="00EA2149">
        <w:rPr>
          <w:rFonts w:ascii="Arial" w:hAnsi="Arial" w:cs="Arial"/>
          <w:sz w:val="24"/>
          <w:szCs w:val="24"/>
        </w:rPr>
        <w:t xml:space="preserve"> This information is also available in APL 22-026.</w:t>
      </w:r>
    </w:p>
    <w:p w14:paraId="4E52C93C" w14:textId="781213D8" w:rsidR="00841EBD" w:rsidRPr="00E255E7" w:rsidRDefault="00841EBD" w:rsidP="003D2670">
      <w:pPr>
        <w:pStyle w:val="ListParagraph"/>
        <w:numPr>
          <w:ilvl w:val="0"/>
          <w:numId w:val="13"/>
        </w:numPr>
        <w:spacing w:after="240"/>
        <w:contextualSpacing w:val="0"/>
        <w:rPr>
          <w:rFonts w:ascii="Arial" w:hAnsi="Arial" w:cs="Arial"/>
          <w:b/>
          <w:bCs/>
          <w:sz w:val="24"/>
          <w:szCs w:val="24"/>
        </w:rPr>
      </w:pPr>
      <w:r w:rsidRPr="00E255E7">
        <w:rPr>
          <w:rFonts w:ascii="Arial" w:hAnsi="Arial" w:cs="Arial"/>
          <w:b/>
          <w:bCs/>
          <w:sz w:val="24"/>
          <w:szCs w:val="24"/>
        </w:rPr>
        <w:t>When the D</w:t>
      </w:r>
      <w:r w:rsidR="00D0286E" w:rsidRPr="00E255E7">
        <w:rPr>
          <w:rFonts w:ascii="Arial" w:hAnsi="Arial" w:cs="Arial"/>
          <w:b/>
          <w:bCs/>
          <w:sz w:val="24"/>
          <w:szCs w:val="24"/>
        </w:rPr>
        <w:t xml:space="preserve">MHC </w:t>
      </w:r>
      <w:r w:rsidRPr="00E255E7">
        <w:rPr>
          <w:rFonts w:ascii="Arial" w:hAnsi="Arial" w:cs="Arial"/>
          <w:b/>
          <w:bCs/>
          <w:sz w:val="24"/>
          <w:szCs w:val="24"/>
        </w:rPr>
        <w:t xml:space="preserve">reviews plan networks according to the Counseling MHP Ratio Standards and Methodology for RY 2024, why does the methodology reduce the FTE value of a network provider that provides </w:t>
      </w:r>
      <w:r w:rsidR="00D0286E" w:rsidRPr="00E255E7">
        <w:rPr>
          <w:rFonts w:ascii="Arial" w:hAnsi="Arial" w:cs="Arial"/>
          <w:b/>
          <w:bCs/>
          <w:sz w:val="24"/>
          <w:szCs w:val="24"/>
        </w:rPr>
        <w:t xml:space="preserve">only </w:t>
      </w:r>
      <w:r w:rsidRPr="00E255E7">
        <w:rPr>
          <w:rFonts w:ascii="Arial" w:hAnsi="Arial" w:cs="Arial"/>
          <w:b/>
          <w:bCs/>
          <w:sz w:val="24"/>
          <w:szCs w:val="24"/>
        </w:rPr>
        <w:t>telehealth services (and no in-person services)?</w:t>
      </w:r>
    </w:p>
    <w:p w14:paraId="447749FB" w14:textId="7391ADD1" w:rsidR="00841EBD" w:rsidRPr="00EA2149" w:rsidRDefault="00841EBD" w:rsidP="005C63A7">
      <w:pPr>
        <w:spacing w:after="600"/>
        <w:ind w:left="720"/>
        <w:rPr>
          <w:rFonts w:ascii="Arial" w:hAnsi="Arial" w:cs="Arial"/>
          <w:sz w:val="24"/>
          <w:szCs w:val="24"/>
          <w:u w:val="single"/>
        </w:rPr>
      </w:pPr>
      <w:r w:rsidRPr="00EA2149">
        <w:rPr>
          <w:rFonts w:ascii="Arial" w:hAnsi="Arial" w:cs="Arial"/>
          <w:sz w:val="24"/>
          <w:szCs w:val="24"/>
        </w:rPr>
        <w:lastRenderedPageBreak/>
        <w:t xml:space="preserve">A telehealth-only provider is counted as a full </w:t>
      </w:r>
      <w:r w:rsidR="00952D43" w:rsidRPr="00EA2149">
        <w:rPr>
          <w:rFonts w:ascii="Arial" w:hAnsi="Arial" w:cs="Arial"/>
          <w:sz w:val="24"/>
          <w:szCs w:val="24"/>
        </w:rPr>
        <w:t>“</w:t>
      </w:r>
      <w:r w:rsidRPr="00EA2149">
        <w:rPr>
          <w:rFonts w:ascii="Arial" w:hAnsi="Arial" w:cs="Arial"/>
          <w:sz w:val="24"/>
          <w:szCs w:val="24"/>
        </w:rPr>
        <w:t>FTE</w:t>
      </w:r>
      <w:r w:rsidR="00952D43" w:rsidRPr="00EA2149">
        <w:rPr>
          <w:rFonts w:ascii="Arial" w:hAnsi="Arial" w:cs="Arial"/>
          <w:sz w:val="24"/>
          <w:szCs w:val="24"/>
        </w:rPr>
        <w:t>”</w:t>
      </w:r>
      <w:r w:rsidRPr="00EA2149">
        <w:rPr>
          <w:rFonts w:ascii="Arial" w:hAnsi="Arial" w:cs="Arial"/>
          <w:sz w:val="24"/>
          <w:szCs w:val="24"/>
        </w:rPr>
        <w:t xml:space="preserve"> provider, unlike in-person network providers which are assigned a fractional FTE value. However,</w:t>
      </w:r>
      <w:r w:rsidR="001B151B" w:rsidRPr="00EA2149">
        <w:rPr>
          <w:rFonts w:ascii="Arial" w:hAnsi="Arial" w:cs="Arial"/>
          <w:sz w:val="24"/>
          <w:szCs w:val="24"/>
        </w:rPr>
        <w:t xml:space="preserve"> under the methodology,</w:t>
      </w:r>
      <w:r w:rsidRPr="00EA2149">
        <w:rPr>
          <w:rFonts w:ascii="Arial" w:hAnsi="Arial" w:cs="Arial"/>
          <w:sz w:val="24"/>
          <w:szCs w:val="24"/>
        </w:rPr>
        <w:t xml:space="preserve"> telehealth-only network providers cannot exceed 20% of the total FTE of network providers used to calculate the provider</w:t>
      </w:r>
      <w:r w:rsidR="001B151B" w:rsidRPr="00EA2149">
        <w:rPr>
          <w:rFonts w:ascii="Arial" w:hAnsi="Arial" w:cs="Arial"/>
          <w:sz w:val="24"/>
          <w:szCs w:val="24"/>
        </w:rPr>
        <w:t>-to-</w:t>
      </w:r>
      <w:r w:rsidRPr="00EA2149">
        <w:rPr>
          <w:rFonts w:ascii="Arial" w:hAnsi="Arial" w:cs="Arial"/>
          <w:sz w:val="24"/>
          <w:szCs w:val="24"/>
        </w:rPr>
        <w:t>enrollee ratios. The limitation on the telehealth ratio modifier reflects the need for network providers that can provide in-person mental health services when medically necessary, within counties throughout the network service area. It also avoids placing an undue burden on network providers that are providing medically necessary in-person mental health services that cannot be addressed via telehealth modalities. Schedule A-1 details how the Telehealth Ratio Modifier is applied.</w:t>
      </w:r>
    </w:p>
    <w:p w14:paraId="5B59217A" w14:textId="7D251B2E" w:rsidR="00BB4323" w:rsidRPr="00E255E7" w:rsidRDefault="009B5EF6" w:rsidP="00844E14">
      <w:pPr>
        <w:pStyle w:val="ListParagraph"/>
        <w:numPr>
          <w:ilvl w:val="0"/>
          <w:numId w:val="13"/>
        </w:numPr>
        <w:spacing w:after="240"/>
        <w:contextualSpacing w:val="0"/>
        <w:rPr>
          <w:rFonts w:ascii="Arial" w:hAnsi="Arial" w:cs="Arial"/>
          <w:b/>
          <w:bCs/>
          <w:sz w:val="24"/>
          <w:szCs w:val="24"/>
        </w:rPr>
      </w:pPr>
      <w:r w:rsidRPr="00E255E7">
        <w:rPr>
          <w:rFonts w:ascii="Arial" w:hAnsi="Arial" w:cs="Arial"/>
          <w:b/>
          <w:bCs/>
          <w:sz w:val="24"/>
          <w:szCs w:val="24"/>
        </w:rPr>
        <w:t>When the D</w:t>
      </w:r>
      <w:r w:rsidR="00360B9E" w:rsidRPr="00E255E7">
        <w:rPr>
          <w:rFonts w:ascii="Arial" w:hAnsi="Arial" w:cs="Arial"/>
          <w:b/>
          <w:bCs/>
          <w:sz w:val="24"/>
          <w:szCs w:val="24"/>
        </w:rPr>
        <w:t>MHC</w:t>
      </w:r>
      <w:r w:rsidRPr="00E255E7">
        <w:rPr>
          <w:rFonts w:ascii="Arial" w:hAnsi="Arial" w:cs="Arial"/>
          <w:b/>
          <w:bCs/>
          <w:sz w:val="24"/>
          <w:szCs w:val="24"/>
        </w:rPr>
        <w:t xml:space="preserve"> reviews networks for compliance with the Counseling MHP Ratio Standards and Methodology, how does the D</w:t>
      </w:r>
      <w:r w:rsidR="00360B9E" w:rsidRPr="00E255E7">
        <w:rPr>
          <w:rFonts w:ascii="Arial" w:hAnsi="Arial" w:cs="Arial"/>
          <w:b/>
          <w:bCs/>
          <w:sz w:val="24"/>
          <w:szCs w:val="24"/>
        </w:rPr>
        <w:t>MHC</w:t>
      </w:r>
      <w:r w:rsidRPr="00E255E7">
        <w:rPr>
          <w:rFonts w:ascii="Arial" w:hAnsi="Arial" w:cs="Arial"/>
          <w:b/>
          <w:bCs/>
          <w:sz w:val="24"/>
          <w:szCs w:val="24"/>
        </w:rPr>
        <w:t xml:space="preserve"> apply the FTE Modifier for </w:t>
      </w:r>
      <w:r w:rsidR="005868A0" w:rsidRPr="00E255E7">
        <w:rPr>
          <w:rFonts w:ascii="Arial" w:hAnsi="Arial" w:cs="Arial"/>
          <w:b/>
          <w:bCs/>
          <w:sz w:val="24"/>
          <w:szCs w:val="24"/>
        </w:rPr>
        <w:t>e</w:t>
      </w:r>
      <w:r w:rsidRPr="00E255E7">
        <w:rPr>
          <w:rFonts w:ascii="Arial" w:hAnsi="Arial" w:cs="Arial"/>
          <w:b/>
          <w:bCs/>
          <w:sz w:val="24"/>
          <w:szCs w:val="24"/>
        </w:rPr>
        <w:t xml:space="preserve">xclusive </w:t>
      </w:r>
      <w:r w:rsidR="005868A0" w:rsidRPr="00E255E7">
        <w:rPr>
          <w:rFonts w:ascii="Arial" w:hAnsi="Arial" w:cs="Arial"/>
          <w:b/>
          <w:bCs/>
          <w:sz w:val="24"/>
          <w:szCs w:val="24"/>
        </w:rPr>
        <w:t>p</w:t>
      </w:r>
      <w:r w:rsidRPr="00E255E7">
        <w:rPr>
          <w:rFonts w:ascii="Arial" w:hAnsi="Arial" w:cs="Arial"/>
          <w:b/>
          <w:bCs/>
          <w:sz w:val="24"/>
          <w:szCs w:val="24"/>
        </w:rPr>
        <w:t>roviders (EP</w:t>
      </w:r>
      <w:r w:rsidR="006A7A17" w:rsidRPr="00E255E7">
        <w:rPr>
          <w:rFonts w:ascii="Arial" w:hAnsi="Arial" w:cs="Arial"/>
          <w:b/>
          <w:bCs/>
          <w:sz w:val="24"/>
          <w:szCs w:val="24"/>
        </w:rPr>
        <w:t>s</w:t>
      </w:r>
      <w:r w:rsidRPr="00E255E7">
        <w:rPr>
          <w:rFonts w:ascii="Arial" w:hAnsi="Arial" w:cs="Arial"/>
          <w:b/>
          <w:bCs/>
          <w:sz w:val="24"/>
          <w:szCs w:val="24"/>
        </w:rPr>
        <w:t>) to multiple networks?</w:t>
      </w:r>
    </w:p>
    <w:p w14:paraId="492248BF" w14:textId="186A63C9" w:rsidR="00496EA2" w:rsidRPr="00EA2149" w:rsidRDefault="00804F83" w:rsidP="005C63A7">
      <w:pPr>
        <w:spacing w:after="600"/>
        <w:ind w:left="720"/>
        <w:rPr>
          <w:rFonts w:ascii="Arial" w:hAnsi="Arial" w:cs="Arial"/>
          <w:sz w:val="24"/>
          <w:szCs w:val="24"/>
        </w:rPr>
      </w:pPr>
      <w:r w:rsidRPr="00EA2149">
        <w:rPr>
          <w:rFonts w:ascii="Arial" w:hAnsi="Arial" w:cs="Arial"/>
          <w:sz w:val="24"/>
          <w:szCs w:val="24"/>
        </w:rPr>
        <w:t>W</w:t>
      </w:r>
      <w:r w:rsidR="009B5EF6" w:rsidRPr="00EA2149">
        <w:rPr>
          <w:rFonts w:ascii="Arial" w:hAnsi="Arial" w:cs="Arial"/>
          <w:sz w:val="24"/>
          <w:szCs w:val="24"/>
        </w:rPr>
        <w:t>ithin the Counseling MHP Ratio Standards and Methodology, when reviewing an individual network provider’s FTE under the alternative access standard for EP</w:t>
      </w:r>
      <w:r w:rsidR="006A7A17" w:rsidRPr="00EA2149">
        <w:rPr>
          <w:rFonts w:ascii="Arial" w:hAnsi="Arial" w:cs="Arial"/>
          <w:sz w:val="24"/>
          <w:szCs w:val="24"/>
        </w:rPr>
        <w:t>s</w:t>
      </w:r>
      <w:r w:rsidR="009B5EF6" w:rsidRPr="00EA2149">
        <w:rPr>
          <w:rFonts w:ascii="Arial" w:hAnsi="Arial" w:cs="Arial"/>
          <w:sz w:val="24"/>
          <w:szCs w:val="24"/>
        </w:rPr>
        <w:t xml:space="preserve">, the </w:t>
      </w:r>
      <w:r w:rsidR="007C59A1" w:rsidRPr="00EA2149">
        <w:rPr>
          <w:rFonts w:ascii="Arial" w:hAnsi="Arial" w:cs="Arial"/>
          <w:sz w:val="24"/>
          <w:szCs w:val="24"/>
        </w:rPr>
        <w:t xml:space="preserve">DMHC </w:t>
      </w:r>
      <w:r w:rsidR="009B5EF6" w:rsidRPr="00EA2149">
        <w:rPr>
          <w:rFonts w:ascii="Arial" w:hAnsi="Arial" w:cs="Arial"/>
          <w:sz w:val="24"/>
          <w:szCs w:val="24"/>
        </w:rPr>
        <w:t xml:space="preserve">evaluates whether the provider is a network provider for only one reporting plan, for the reporting year. This reflects an </w:t>
      </w:r>
      <w:r w:rsidR="00154440" w:rsidRPr="00EA2149">
        <w:rPr>
          <w:rFonts w:ascii="Arial" w:hAnsi="Arial" w:cs="Arial"/>
          <w:sz w:val="24"/>
          <w:szCs w:val="24"/>
        </w:rPr>
        <w:t xml:space="preserve">EP </w:t>
      </w:r>
      <w:r w:rsidR="009B5EF6" w:rsidRPr="00EA2149">
        <w:rPr>
          <w:rFonts w:ascii="Arial" w:hAnsi="Arial" w:cs="Arial"/>
          <w:sz w:val="24"/>
          <w:szCs w:val="24"/>
        </w:rPr>
        <w:t xml:space="preserve">contracting arrangement with a plan, and the alternative EP standard will apply to the network provider for which there is an exclusive contract. </w:t>
      </w:r>
      <w:r w:rsidR="00CD7FB3" w:rsidRPr="00EA2149">
        <w:rPr>
          <w:rFonts w:ascii="Arial" w:hAnsi="Arial" w:cs="Arial"/>
          <w:sz w:val="24"/>
          <w:szCs w:val="24"/>
        </w:rPr>
        <w:t xml:space="preserve">If the plan </w:t>
      </w:r>
      <w:r w:rsidR="00B64993" w:rsidRPr="00EA2149">
        <w:rPr>
          <w:rFonts w:ascii="Arial" w:hAnsi="Arial" w:cs="Arial"/>
          <w:sz w:val="24"/>
          <w:szCs w:val="24"/>
        </w:rPr>
        <w:t xml:space="preserve">has more than one network in a county, the EP’s FTE value will account for the total number of networks </w:t>
      </w:r>
      <w:r w:rsidR="00DC0951" w:rsidRPr="00EA2149">
        <w:rPr>
          <w:rFonts w:ascii="Arial" w:hAnsi="Arial" w:cs="Arial"/>
          <w:sz w:val="24"/>
          <w:szCs w:val="24"/>
        </w:rPr>
        <w:t>the</w:t>
      </w:r>
      <w:r w:rsidR="00F319C7" w:rsidRPr="00EA2149">
        <w:rPr>
          <w:rFonts w:ascii="Arial" w:hAnsi="Arial" w:cs="Arial"/>
          <w:sz w:val="24"/>
          <w:szCs w:val="24"/>
        </w:rPr>
        <w:t xml:space="preserve"> provider</w:t>
      </w:r>
      <w:r w:rsidR="00DC0951" w:rsidRPr="00EA2149">
        <w:rPr>
          <w:rFonts w:ascii="Arial" w:hAnsi="Arial" w:cs="Arial"/>
          <w:sz w:val="24"/>
          <w:szCs w:val="24"/>
        </w:rPr>
        <w:t xml:space="preserve"> serve</w:t>
      </w:r>
      <w:r w:rsidR="00F319C7" w:rsidRPr="00EA2149">
        <w:rPr>
          <w:rFonts w:ascii="Arial" w:hAnsi="Arial" w:cs="Arial"/>
          <w:sz w:val="24"/>
          <w:szCs w:val="24"/>
        </w:rPr>
        <w:t>s</w:t>
      </w:r>
      <w:r w:rsidR="00DC0951" w:rsidRPr="00EA2149">
        <w:rPr>
          <w:rFonts w:ascii="Arial" w:hAnsi="Arial" w:cs="Arial"/>
          <w:sz w:val="24"/>
          <w:szCs w:val="24"/>
        </w:rPr>
        <w:t xml:space="preserve"> for that plan in the county being measured.</w:t>
      </w:r>
    </w:p>
    <w:p w14:paraId="015186A0" w14:textId="0F153558" w:rsidR="00316C54" w:rsidRPr="00E255E7" w:rsidRDefault="00316C54" w:rsidP="00844E14">
      <w:pPr>
        <w:pStyle w:val="ListParagraph"/>
        <w:numPr>
          <w:ilvl w:val="0"/>
          <w:numId w:val="13"/>
        </w:numPr>
        <w:spacing w:after="240"/>
        <w:contextualSpacing w:val="0"/>
        <w:rPr>
          <w:rFonts w:ascii="Arial" w:hAnsi="Arial" w:cs="Arial"/>
          <w:b/>
          <w:bCs/>
          <w:sz w:val="24"/>
          <w:szCs w:val="24"/>
        </w:rPr>
      </w:pPr>
      <w:r w:rsidRPr="00E255E7">
        <w:rPr>
          <w:rFonts w:ascii="Arial" w:hAnsi="Arial" w:cs="Arial"/>
          <w:b/>
          <w:bCs/>
          <w:sz w:val="24"/>
          <w:szCs w:val="24"/>
        </w:rPr>
        <w:t>When the D</w:t>
      </w:r>
      <w:r w:rsidR="00E047BA" w:rsidRPr="00E255E7">
        <w:rPr>
          <w:rFonts w:ascii="Arial" w:hAnsi="Arial" w:cs="Arial"/>
          <w:b/>
          <w:bCs/>
          <w:sz w:val="24"/>
          <w:szCs w:val="24"/>
        </w:rPr>
        <w:t>MHC</w:t>
      </w:r>
      <w:r w:rsidRPr="00E255E7">
        <w:rPr>
          <w:rFonts w:ascii="Arial" w:hAnsi="Arial" w:cs="Arial"/>
          <w:b/>
          <w:bCs/>
          <w:sz w:val="24"/>
          <w:szCs w:val="24"/>
        </w:rPr>
        <w:t xml:space="preserve"> applies the combined county ratio modifier as part of its review according to the Counseling Non-Physician MHP Ratio Standards and Methodology, why is a county unable to be grouped more than once?</w:t>
      </w:r>
    </w:p>
    <w:p w14:paraId="26D0AEE4" w14:textId="1CF7CEF5" w:rsidR="00316C54" w:rsidRPr="00EA2149" w:rsidRDefault="00BB25E3" w:rsidP="00732696">
      <w:pPr>
        <w:spacing w:after="600"/>
        <w:ind w:left="720"/>
        <w:rPr>
          <w:rFonts w:ascii="Arial" w:hAnsi="Arial" w:cs="Arial"/>
          <w:sz w:val="24"/>
          <w:szCs w:val="24"/>
        </w:rPr>
      </w:pPr>
      <w:r w:rsidRPr="00EA2149">
        <w:rPr>
          <w:rFonts w:ascii="Arial" w:hAnsi="Arial" w:cs="Arial"/>
          <w:sz w:val="24"/>
          <w:szCs w:val="24"/>
        </w:rPr>
        <w:t>For the combined county ratio modifier in the Counseling Non-Physician MHP Ratio Standards and Methodology</w:t>
      </w:r>
      <w:r w:rsidR="005B1296" w:rsidRPr="00EA2149">
        <w:rPr>
          <w:rFonts w:ascii="Arial" w:hAnsi="Arial" w:cs="Arial"/>
          <w:sz w:val="24"/>
          <w:szCs w:val="24"/>
        </w:rPr>
        <w:t xml:space="preserve">, </w:t>
      </w:r>
      <w:r w:rsidRPr="00EA2149">
        <w:rPr>
          <w:rFonts w:ascii="Arial" w:hAnsi="Arial" w:cs="Arial"/>
          <w:sz w:val="24"/>
          <w:szCs w:val="24"/>
        </w:rPr>
        <w:t>a county may only be included in one county grouping because otherwise the county would be double counted</w:t>
      </w:r>
      <w:r w:rsidR="005B1296" w:rsidRPr="00EA2149">
        <w:rPr>
          <w:rFonts w:ascii="Arial" w:hAnsi="Arial" w:cs="Arial"/>
          <w:sz w:val="24"/>
          <w:szCs w:val="24"/>
        </w:rPr>
        <w:t>,</w:t>
      </w:r>
      <w:r w:rsidRPr="00EA2149">
        <w:rPr>
          <w:rFonts w:ascii="Arial" w:hAnsi="Arial" w:cs="Arial"/>
          <w:sz w:val="24"/>
          <w:szCs w:val="24"/>
        </w:rPr>
        <w:t xml:space="preserve"> and the plan network would appear to have more FTE providers than are </w:t>
      </w:r>
      <w:r w:rsidR="005B1296" w:rsidRPr="00EA2149">
        <w:rPr>
          <w:rFonts w:ascii="Arial" w:hAnsi="Arial" w:cs="Arial"/>
          <w:sz w:val="24"/>
          <w:szCs w:val="24"/>
        </w:rPr>
        <w:t>available</w:t>
      </w:r>
      <w:r w:rsidRPr="00EA2149">
        <w:rPr>
          <w:rFonts w:ascii="Arial" w:hAnsi="Arial" w:cs="Arial"/>
          <w:sz w:val="24"/>
          <w:szCs w:val="24"/>
        </w:rPr>
        <w:t xml:space="preserve"> in the network. </w:t>
      </w:r>
      <w:r w:rsidR="00B562A0" w:rsidRPr="00EA2149">
        <w:rPr>
          <w:rFonts w:ascii="Arial" w:hAnsi="Arial" w:cs="Arial"/>
          <w:sz w:val="24"/>
          <w:szCs w:val="24"/>
        </w:rPr>
        <w:t>The</w:t>
      </w:r>
      <w:r w:rsidRPr="00EA2149">
        <w:rPr>
          <w:rFonts w:ascii="Arial" w:hAnsi="Arial" w:cs="Arial"/>
          <w:sz w:val="24"/>
          <w:szCs w:val="24"/>
        </w:rPr>
        <w:t xml:space="preserve"> Counseling MHP ratio should reflect the total number of FTE Counseling MHP providers and the total number of enrollees in the county or network, based on the complete roster of network providers and enrollment data submitted for the county and the network in the Annual Network Report.</w:t>
      </w:r>
    </w:p>
    <w:p w14:paraId="6BE54BF4" w14:textId="1F281FD8" w:rsidR="00C21AEF" w:rsidRPr="00E255E7" w:rsidRDefault="00C21AEF" w:rsidP="00844E14">
      <w:pPr>
        <w:pStyle w:val="ListParagraph"/>
        <w:keepNext/>
        <w:numPr>
          <w:ilvl w:val="0"/>
          <w:numId w:val="13"/>
        </w:numPr>
        <w:spacing w:after="240"/>
        <w:contextualSpacing w:val="0"/>
        <w:rPr>
          <w:rFonts w:ascii="Arial" w:hAnsi="Arial" w:cs="Arial"/>
          <w:b/>
          <w:bCs/>
          <w:sz w:val="24"/>
          <w:szCs w:val="24"/>
        </w:rPr>
      </w:pPr>
      <w:r w:rsidRPr="00E255E7">
        <w:rPr>
          <w:rFonts w:ascii="Arial" w:hAnsi="Arial" w:cs="Arial"/>
          <w:b/>
          <w:bCs/>
          <w:sz w:val="24"/>
          <w:szCs w:val="24"/>
        </w:rPr>
        <w:lastRenderedPageBreak/>
        <w:t xml:space="preserve">Within the Counseling Non-Physician </w:t>
      </w:r>
      <w:r w:rsidR="00B01EB4" w:rsidRPr="00E255E7">
        <w:rPr>
          <w:rFonts w:ascii="Arial" w:hAnsi="Arial" w:cs="Arial"/>
          <w:b/>
          <w:bCs/>
          <w:sz w:val="24"/>
          <w:szCs w:val="24"/>
        </w:rPr>
        <w:t xml:space="preserve">MHP </w:t>
      </w:r>
      <w:r w:rsidRPr="00E255E7">
        <w:rPr>
          <w:rFonts w:ascii="Arial" w:hAnsi="Arial" w:cs="Arial"/>
          <w:b/>
          <w:bCs/>
          <w:sz w:val="24"/>
          <w:szCs w:val="24"/>
        </w:rPr>
        <w:t xml:space="preserve">Ratio Standards and Methodology, how does the </w:t>
      </w:r>
      <w:r w:rsidR="00C2337A" w:rsidRPr="00E255E7">
        <w:rPr>
          <w:rFonts w:ascii="Arial" w:hAnsi="Arial" w:cs="Arial"/>
          <w:b/>
          <w:bCs/>
          <w:sz w:val="24"/>
          <w:szCs w:val="24"/>
        </w:rPr>
        <w:t>e</w:t>
      </w:r>
      <w:r w:rsidRPr="00E255E7">
        <w:rPr>
          <w:rFonts w:ascii="Arial" w:hAnsi="Arial" w:cs="Arial"/>
          <w:b/>
          <w:bCs/>
          <w:sz w:val="24"/>
          <w:szCs w:val="24"/>
        </w:rPr>
        <w:t xml:space="preserve">xclusive </w:t>
      </w:r>
      <w:r w:rsidR="00C2337A" w:rsidRPr="00E255E7">
        <w:rPr>
          <w:rFonts w:ascii="Arial" w:hAnsi="Arial" w:cs="Arial"/>
          <w:b/>
          <w:bCs/>
          <w:sz w:val="24"/>
          <w:szCs w:val="24"/>
        </w:rPr>
        <w:t>p</w:t>
      </w:r>
      <w:r w:rsidRPr="00E255E7">
        <w:rPr>
          <w:rFonts w:ascii="Arial" w:hAnsi="Arial" w:cs="Arial"/>
          <w:b/>
          <w:bCs/>
          <w:sz w:val="24"/>
          <w:szCs w:val="24"/>
        </w:rPr>
        <w:t>rovider (EP) modifier apply when a plan’s network includes both EP and subcontracted network providers?</w:t>
      </w:r>
    </w:p>
    <w:p w14:paraId="22AE1112" w14:textId="7056C5BD" w:rsidR="00C21AEF" w:rsidRPr="00EA2149" w:rsidRDefault="00C21AEF" w:rsidP="00732696">
      <w:pPr>
        <w:spacing w:after="600"/>
        <w:ind w:left="720"/>
        <w:rPr>
          <w:rFonts w:ascii="Arial" w:hAnsi="Arial" w:cs="Arial"/>
          <w:sz w:val="24"/>
          <w:szCs w:val="24"/>
        </w:rPr>
      </w:pPr>
      <w:r w:rsidRPr="00EA2149">
        <w:rPr>
          <w:rFonts w:ascii="Arial" w:hAnsi="Arial" w:cs="Arial"/>
          <w:sz w:val="24"/>
          <w:szCs w:val="24"/>
        </w:rPr>
        <w:t>The EP modifier will only apply to network providers that meet the definition of exclusive provider in the methodology. This modifier will not apply to network providers that do not meet the definition of exclusive provider. The D</w:t>
      </w:r>
      <w:r w:rsidR="000F4F6D" w:rsidRPr="00EA2149">
        <w:rPr>
          <w:rFonts w:ascii="Arial" w:hAnsi="Arial" w:cs="Arial"/>
          <w:sz w:val="24"/>
          <w:szCs w:val="24"/>
        </w:rPr>
        <w:t xml:space="preserve">MHC </w:t>
      </w:r>
      <w:r w:rsidRPr="00EA2149">
        <w:rPr>
          <w:rFonts w:ascii="Arial" w:hAnsi="Arial" w:cs="Arial"/>
          <w:sz w:val="24"/>
          <w:szCs w:val="24"/>
        </w:rPr>
        <w:t xml:space="preserve">will rely upon the </w:t>
      </w:r>
      <w:r w:rsidR="000F4F6D" w:rsidRPr="00EA2149">
        <w:rPr>
          <w:rFonts w:ascii="Arial" w:hAnsi="Arial" w:cs="Arial"/>
          <w:sz w:val="24"/>
          <w:szCs w:val="24"/>
        </w:rPr>
        <w:t>Annual Network Report submissions by all</w:t>
      </w:r>
      <w:r w:rsidRPr="00EA2149">
        <w:rPr>
          <w:rFonts w:ascii="Arial" w:hAnsi="Arial" w:cs="Arial"/>
          <w:sz w:val="24"/>
          <w:szCs w:val="24"/>
        </w:rPr>
        <w:t xml:space="preserve"> </w:t>
      </w:r>
      <w:r w:rsidR="00E24C8B">
        <w:rPr>
          <w:rFonts w:ascii="Arial" w:hAnsi="Arial" w:cs="Arial"/>
          <w:sz w:val="24"/>
          <w:szCs w:val="24"/>
        </w:rPr>
        <w:t xml:space="preserve">reporting </w:t>
      </w:r>
      <w:r w:rsidRPr="00EA2149">
        <w:rPr>
          <w:rFonts w:ascii="Arial" w:hAnsi="Arial" w:cs="Arial"/>
          <w:sz w:val="24"/>
          <w:szCs w:val="24"/>
        </w:rPr>
        <w:t>plans</w:t>
      </w:r>
      <w:r w:rsidR="00E24C8B">
        <w:rPr>
          <w:rFonts w:ascii="Arial" w:hAnsi="Arial" w:cs="Arial"/>
          <w:sz w:val="24"/>
          <w:szCs w:val="24"/>
        </w:rPr>
        <w:t xml:space="preserve"> </w:t>
      </w:r>
      <w:r w:rsidRPr="00EA2149">
        <w:rPr>
          <w:rFonts w:ascii="Arial" w:hAnsi="Arial" w:cs="Arial"/>
          <w:sz w:val="24"/>
          <w:szCs w:val="24"/>
        </w:rPr>
        <w:t>to determine which providers are EPs.</w:t>
      </w:r>
    </w:p>
    <w:sectPr w:rsidR="00C21AEF" w:rsidRPr="00EA2149" w:rsidSect="00CD437F">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E84E" w14:textId="77777777" w:rsidR="00CC27C8" w:rsidRDefault="00CC27C8" w:rsidP="002A710F">
      <w:pPr>
        <w:spacing w:after="0" w:line="240" w:lineRule="auto"/>
      </w:pPr>
      <w:r>
        <w:separator/>
      </w:r>
    </w:p>
  </w:endnote>
  <w:endnote w:type="continuationSeparator" w:id="0">
    <w:p w14:paraId="2289C969" w14:textId="77777777" w:rsidR="00CC27C8" w:rsidRDefault="00CC27C8" w:rsidP="002A710F">
      <w:pPr>
        <w:spacing w:after="0" w:line="240" w:lineRule="auto"/>
      </w:pPr>
      <w:r>
        <w:continuationSeparator/>
      </w:r>
    </w:p>
  </w:endnote>
  <w:endnote w:type="continuationNotice" w:id="1">
    <w:p w14:paraId="7FF63659" w14:textId="77777777" w:rsidR="00CC27C8" w:rsidRDefault="00CC27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2B1B27C" w14:paraId="2798A7A6" w14:textId="77777777" w:rsidTr="42B1B27C">
      <w:trPr>
        <w:trHeight w:val="300"/>
      </w:trPr>
      <w:tc>
        <w:tcPr>
          <w:tcW w:w="3120" w:type="dxa"/>
        </w:tcPr>
        <w:p w14:paraId="3E69F058" w14:textId="6D15BDE9" w:rsidR="42B1B27C" w:rsidRDefault="42B1B27C" w:rsidP="42B1B27C">
          <w:pPr>
            <w:pStyle w:val="Header"/>
            <w:ind w:left="-115"/>
          </w:pPr>
        </w:p>
      </w:tc>
      <w:tc>
        <w:tcPr>
          <w:tcW w:w="3120" w:type="dxa"/>
        </w:tcPr>
        <w:p w14:paraId="05B4FEA5" w14:textId="76E6CB94" w:rsidR="42B1B27C" w:rsidRDefault="42B1B27C" w:rsidP="42B1B27C">
          <w:pPr>
            <w:pStyle w:val="Header"/>
            <w:jc w:val="center"/>
          </w:pPr>
        </w:p>
      </w:tc>
      <w:tc>
        <w:tcPr>
          <w:tcW w:w="3120" w:type="dxa"/>
        </w:tcPr>
        <w:p w14:paraId="5B123CBF" w14:textId="312D4031" w:rsidR="42B1B27C" w:rsidRDefault="42B1B27C" w:rsidP="42B1B27C">
          <w:pPr>
            <w:pStyle w:val="Header"/>
            <w:ind w:right="-115"/>
            <w:jc w:val="right"/>
          </w:pPr>
        </w:p>
      </w:tc>
    </w:tr>
  </w:tbl>
  <w:p w14:paraId="49F971F3" w14:textId="3F5FC2EE" w:rsidR="42B1B27C" w:rsidRDefault="42B1B27C" w:rsidP="42B1B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2B1B27C" w14:paraId="5C967D8C" w14:textId="77777777" w:rsidTr="42B1B27C">
      <w:trPr>
        <w:trHeight w:val="300"/>
      </w:trPr>
      <w:tc>
        <w:tcPr>
          <w:tcW w:w="3120" w:type="dxa"/>
        </w:tcPr>
        <w:p w14:paraId="6A206926" w14:textId="26540222" w:rsidR="42B1B27C" w:rsidRDefault="42B1B27C" w:rsidP="42B1B27C">
          <w:pPr>
            <w:pStyle w:val="Header"/>
            <w:ind w:left="-115"/>
          </w:pPr>
        </w:p>
      </w:tc>
      <w:tc>
        <w:tcPr>
          <w:tcW w:w="3120" w:type="dxa"/>
        </w:tcPr>
        <w:p w14:paraId="6A1A942C" w14:textId="6E8D46BD" w:rsidR="42B1B27C" w:rsidRDefault="42B1B27C" w:rsidP="42B1B27C">
          <w:pPr>
            <w:pStyle w:val="Header"/>
            <w:jc w:val="center"/>
          </w:pPr>
        </w:p>
      </w:tc>
      <w:tc>
        <w:tcPr>
          <w:tcW w:w="3120" w:type="dxa"/>
        </w:tcPr>
        <w:p w14:paraId="5DDB3FB0" w14:textId="5D200FD7" w:rsidR="42B1B27C" w:rsidRDefault="42B1B27C" w:rsidP="42B1B27C">
          <w:pPr>
            <w:pStyle w:val="Header"/>
            <w:ind w:right="-115"/>
            <w:jc w:val="right"/>
          </w:pPr>
        </w:p>
      </w:tc>
    </w:tr>
  </w:tbl>
  <w:p w14:paraId="4B487374" w14:textId="03C312CA" w:rsidR="42B1B27C" w:rsidRDefault="42B1B27C" w:rsidP="42B1B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85A0" w14:textId="77777777" w:rsidR="00CC27C8" w:rsidRDefault="00CC27C8" w:rsidP="002A710F">
      <w:pPr>
        <w:spacing w:after="0" w:line="240" w:lineRule="auto"/>
      </w:pPr>
      <w:r>
        <w:separator/>
      </w:r>
    </w:p>
  </w:footnote>
  <w:footnote w:type="continuationSeparator" w:id="0">
    <w:p w14:paraId="7FE9FD43" w14:textId="77777777" w:rsidR="00CC27C8" w:rsidRDefault="00CC27C8" w:rsidP="002A710F">
      <w:pPr>
        <w:spacing w:after="0" w:line="240" w:lineRule="auto"/>
      </w:pPr>
      <w:r>
        <w:continuationSeparator/>
      </w:r>
    </w:p>
  </w:footnote>
  <w:footnote w:type="continuationNotice" w:id="1">
    <w:p w14:paraId="5054839E" w14:textId="77777777" w:rsidR="00CC27C8" w:rsidRDefault="00CC27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D032" w14:textId="280EB834" w:rsidR="00B71421" w:rsidRPr="00FC3D50" w:rsidRDefault="00B71421" w:rsidP="00B71421">
    <w:pPr>
      <w:tabs>
        <w:tab w:val="right" w:pos="9090"/>
      </w:tabs>
      <w:spacing w:after="0"/>
      <w:rPr>
        <w:rFonts w:ascii="Arial" w:hAnsi="Arial" w:cs="Arial"/>
        <w:sz w:val="24"/>
        <w:szCs w:val="24"/>
      </w:rPr>
    </w:pPr>
    <w:r w:rsidRPr="00FC3D50">
      <w:rPr>
        <w:rFonts w:ascii="Arial" w:hAnsi="Arial" w:cs="Arial"/>
        <w:sz w:val="24"/>
        <w:szCs w:val="24"/>
      </w:rPr>
      <w:t xml:space="preserve">Frequently Asked Questions (FAQ) </w:t>
    </w:r>
    <w:r w:rsidR="00906F40" w:rsidRPr="00FC3D50">
      <w:rPr>
        <w:rFonts w:ascii="Arial" w:hAnsi="Arial" w:cs="Arial"/>
        <w:sz w:val="24"/>
        <w:szCs w:val="24"/>
      </w:rPr>
      <w:tab/>
    </w:r>
    <w:r w:rsidR="00D57954">
      <w:rPr>
        <w:rFonts w:ascii="Arial" w:hAnsi="Arial" w:cs="Arial"/>
        <w:sz w:val="24"/>
        <w:szCs w:val="24"/>
      </w:rPr>
      <w:t>December 14</w:t>
    </w:r>
    <w:r w:rsidR="00906F40" w:rsidRPr="00FC3D50">
      <w:rPr>
        <w:rFonts w:ascii="Arial" w:hAnsi="Arial" w:cs="Arial"/>
        <w:sz w:val="24"/>
        <w:szCs w:val="24"/>
      </w:rPr>
      <w:t>, 2023</w:t>
    </w:r>
  </w:p>
  <w:p w14:paraId="4254149F" w14:textId="386D89B9" w:rsidR="006D1C29" w:rsidRPr="00FC3D50" w:rsidRDefault="006D1C29" w:rsidP="006D1C29">
    <w:pPr>
      <w:tabs>
        <w:tab w:val="right" w:pos="9090"/>
      </w:tabs>
      <w:spacing w:after="0"/>
      <w:rPr>
        <w:rFonts w:ascii="Arial" w:hAnsi="Arial" w:cs="Arial"/>
        <w:sz w:val="24"/>
        <w:szCs w:val="24"/>
      </w:rPr>
    </w:pPr>
    <w:r w:rsidRPr="00FC3D50">
      <w:rPr>
        <w:rFonts w:ascii="Arial" w:hAnsi="Arial" w:cs="Arial"/>
        <w:sz w:val="24"/>
        <w:szCs w:val="24"/>
      </w:rPr>
      <w:t>APL 23-</w:t>
    </w:r>
    <w:r w:rsidR="00D57954">
      <w:rPr>
        <w:rFonts w:ascii="Arial" w:hAnsi="Arial" w:cs="Arial"/>
        <w:sz w:val="24"/>
        <w:szCs w:val="24"/>
      </w:rPr>
      <w:t>02</w:t>
    </w:r>
    <w:r w:rsidR="005D1740">
      <w:rPr>
        <w:rFonts w:ascii="Arial" w:hAnsi="Arial" w:cs="Arial"/>
        <w:sz w:val="24"/>
        <w:szCs w:val="24"/>
      </w:rPr>
      <w:t>3</w:t>
    </w:r>
    <w:r w:rsidRPr="00FC3D50">
      <w:rPr>
        <w:rFonts w:ascii="Arial" w:hAnsi="Arial" w:cs="Arial"/>
        <w:sz w:val="24"/>
        <w:szCs w:val="24"/>
      </w:rPr>
      <w:tab/>
    </w:r>
    <w:r w:rsidR="00906F40" w:rsidRPr="00FC3D50">
      <w:rPr>
        <w:rFonts w:ascii="Arial" w:hAnsi="Arial" w:cs="Arial"/>
        <w:sz w:val="24"/>
        <w:szCs w:val="24"/>
      </w:rPr>
      <w:t xml:space="preserve">Page </w:t>
    </w:r>
    <w:r w:rsidR="00906F40" w:rsidRPr="00FC3D50">
      <w:rPr>
        <w:rFonts w:ascii="Arial" w:hAnsi="Arial" w:cs="Arial"/>
        <w:sz w:val="24"/>
        <w:szCs w:val="24"/>
      </w:rPr>
      <w:fldChar w:fldCharType="begin"/>
    </w:r>
    <w:r w:rsidR="00906F40" w:rsidRPr="00FC3D50">
      <w:rPr>
        <w:rFonts w:ascii="Arial" w:hAnsi="Arial" w:cs="Arial"/>
        <w:sz w:val="24"/>
        <w:szCs w:val="24"/>
      </w:rPr>
      <w:instrText xml:space="preserve"> PAGE   \* MERGEFORMAT </w:instrText>
    </w:r>
    <w:r w:rsidR="00906F40" w:rsidRPr="00FC3D50">
      <w:rPr>
        <w:rFonts w:ascii="Arial" w:hAnsi="Arial" w:cs="Arial"/>
        <w:sz w:val="24"/>
        <w:szCs w:val="24"/>
      </w:rPr>
      <w:fldChar w:fldCharType="separate"/>
    </w:r>
    <w:r w:rsidR="00906F40" w:rsidRPr="00FC3D50">
      <w:rPr>
        <w:rFonts w:ascii="Arial" w:hAnsi="Arial" w:cs="Arial"/>
        <w:sz w:val="24"/>
        <w:szCs w:val="24"/>
      </w:rPr>
      <w:t>1</w:t>
    </w:r>
    <w:r w:rsidR="00906F40" w:rsidRPr="00FC3D50">
      <w:rPr>
        <w:rFonts w:ascii="Arial" w:hAnsi="Arial" w:cs="Arial"/>
        <w:sz w:val="24"/>
        <w:szCs w:val="24"/>
      </w:rPr>
      <w:fldChar w:fldCharType="end"/>
    </w:r>
  </w:p>
  <w:p w14:paraId="2EA7F785" w14:textId="500ECD2D" w:rsidR="006D1C29" w:rsidRPr="00FC3D50" w:rsidRDefault="006D1C29" w:rsidP="006D1C29">
    <w:pPr>
      <w:tabs>
        <w:tab w:val="right" w:pos="9090"/>
      </w:tabs>
      <w:spacing w:after="0"/>
      <w:rPr>
        <w:rFonts w:ascii="Arial" w:hAnsi="Arial" w:cs="Arial"/>
        <w:sz w:val="24"/>
        <w:szCs w:val="24"/>
      </w:rPr>
    </w:pPr>
    <w:r w:rsidRPr="00FC3D50">
      <w:rPr>
        <w:rFonts w:ascii="Arial" w:hAnsi="Arial" w:cs="Arial"/>
        <w:sz w:val="24"/>
        <w:szCs w:val="24"/>
      </w:rPr>
      <w:t>Amendments to Rules 1300.51 and 1300.67.2</w:t>
    </w:r>
  </w:p>
  <w:p w14:paraId="7CCF8866" w14:textId="77777777" w:rsidR="006D1C29" w:rsidRPr="006D1C29" w:rsidRDefault="006D1C29" w:rsidP="001A46A6">
    <w:pPr>
      <w:tabs>
        <w:tab w:val="right" w:pos="9090"/>
      </w:tabs>
      <w:spacing w:after="360"/>
      <w:rPr>
        <w:rFonts w:ascii="Arial" w:hAnsi="Arial" w:cs="Arial"/>
        <w:sz w:val="24"/>
        <w:szCs w:val="24"/>
      </w:rPr>
    </w:pPr>
    <w:r w:rsidRPr="00FC3D50">
      <w:rPr>
        <w:rFonts w:ascii="Arial" w:hAnsi="Arial" w:cs="Arial"/>
        <w:sz w:val="24"/>
        <w:szCs w:val="24"/>
      </w:rPr>
      <w:t>and Incorporated Documents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DAE4" w14:textId="6EB3A7D0" w:rsidR="00722655" w:rsidRDefault="00722655" w:rsidP="00722655">
    <w:pPr>
      <w:pStyle w:val="BodyText"/>
      <w:snapToGrid w:val="0"/>
      <w:jc w:val="right"/>
      <w:rPr>
        <w:color w:val="12529F"/>
      </w:rPr>
    </w:pPr>
    <w:r w:rsidRPr="00954501">
      <w:rPr>
        <w:noProof/>
      </w:rPr>
      <w:drawing>
        <wp:anchor distT="0" distB="0" distL="0" distR="0" simplePos="0" relativeHeight="251658240" behindDoc="0" locked="0" layoutInCell="1" allowOverlap="1" wp14:anchorId="1ED206AD" wp14:editId="485FFEF0">
          <wp:simplePos x="0" y="0"/>
          <wp:positionH relativeFrom="margin">
            <wp:posOffset>-283210</wp:posOffset>
          </wp:positionH>
          <wp:positionV relativeFrom="margin">
            <wp:posOffset>-1243330</wp:posOffset>
          </wp:positionV>
          <wp:extent cx="2880360" cy="1024128"/>
          <wp:effectExtent l="0" t="0" r="0" b="5080"/>
          <wp:wrapSquare wrapText="bothSides"/>
          <wp:docPr id="217622854" name="Picture 217622854" descr="DMH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22854" name="Picture 217622854" descr="DMHC Logo">
                    <a:extLst>
                      <a:ext uri="{C183D7F6-B498-43B3-948B-1728B52AA6E4}">
                        <adec:decorative xmlns:adec="http://schemas.microsoft.com/office/drawing/2017/decorative" val="0"/>
                      </a:ext>
                    </a:extLst>
                  </pic:cNvPr>
                  <pic:cNvPicPr/>
                </pic:nvPicPr>
                <pic:blipFill>
                  <a:blip r:embed="rId1" cstate="print"/>
                  <a:stretch>
                    <a:fillRect/>
                  </a:stretch>
                </pic:blipFill>
                <pic:spPr>
                  <a:xfrm>
                    <a:off x="0" y="0"/>
                    <a:ext cx="2880360" cy="1024128"/>
                  </a:xfrm>
                  <a:prstGeom prst="rect">
                    <a:avLst/>
                  </a:prstGeom>
                </pic:spPr>
              </pic:pic>
            </a:graphicData>
          </a:graphic>
          <wp14:sizeRelH relativeFrom="margin">
            <wp14:pctWidth>0</wp14:pctWidth>
          </wp14:sizeRelH>
          <wp14:sizeRelV relativeFrom="margin">
            <wp14:pctHeight>0</wp14:pctHeight>
          </wp14:sizeRelV>
        </wp:anchor>
      </w:drawing>
    </w:r>
    <w:r>
      <w:rPr>
        <w:color w:val="12529F"/>
      </w:rPr>
      <w:t>Gavin Newsom, Governor</w:t>
    </w:r>
  </w:p>
  <w:p w14:paraId="18B80ECF" w14:textId="77777777" w:rsidR="00722655" w:rsidRDefault="00722655" w:rsidP="00722655">
    <w:pPr>
      <w:pStyle w:val="BodyText"/>
      <w:snapToGrid w:val="0"/>
      <w:jc w:val="right"/>
      <w:rPr>
        <w:color w:val="12529F"/>
      </w:rPr>
    </w:pPr>
    <w:r>
      <w:rPr>
        <w:color w:val="12529F"/>
      </w:rPr>
      <w:t>State of California</w:t>
    </w:r>
  </w:p>
  <w:p w14:paraId="681CD498" w14:textId="776A63DB" w:rsidR="00722655" w:rsidRDefault="00722655" w:rsidP="00722655">
    <w:pPr>
      <w:pStyle w:val="BodyText"/>
      <w:snapToGrid w:val="0"/>
      <w:jc w:val="right"/>
      <w:rPr>
        <w:color w:val="12529F"/>
      </w:rPr>
    </w:pPr>
    <w:r>
      <w:rPr>
        <w:color w:val="12529F"/>
      </w:rPr>
      <w:t>Health and Human Services Agency</w:t>
    </w:r>
  </w:p>
  <w:p w14:paraId="3514AA4E" w14:textId="0C94D538" w:rsidR="00722655" w:rsidRPr="004B01A5" w:rsidRDefault="00722655" w:rsidP="00722655">
    <w:pPr>
      <w:pStyle w:val="BodyText"/>
      <w:snapToGrid w:val="0"/>
      <w:jc w:val="right"/>
      <w:rPr>
        <w:b/>
        <w:bCs/>
        <w:color w:val="12529F"/>
      </w:rPr>
    </w:pPr>
    <w:r w:rsidRPr="004B01A5">
      <w:rPr>
        <w:b/>
        <w:bCs/>
        <w:color w:val="12529F"/>
      </w:rPr>
      <w:t>DEPARTMENT OF MANAGED HEALTH CARE</w:t>
    </w:r>
  </w:p>
  <w:p w14:paraId="74D63911" w14:textId="77777777" w:rsidR="00722655" w:rsidRPr="004B01A5" w:rsidRDefault="00722655" w:rsidP="00722655">
    <w:pPr>
      <w:pStyle w:val="BodyText"/>
      <w:snapToGrid w:val="0"/>
      <w:jc w:val="right"/>
      <w:rPr>
        <w:b/>
        <w:bCs/>
        <w:color w:val="12529F"/>
      </w:rPr>
    </w:pPr>
    <w:r w:rsidRPr="004B01A5">
      <w:rPr>
        <w:b/>
        <w:bCs/>
        <w:color w:val="12529F"/>
      </w:rPr>
      <w:t>980 9</w:t>
    </w:r>
    <w:r w:rsidRPr="004B01A5">
      <w:rPr>
        <w:b/>
        <w:bCs/>
        <w:color w:val="12529F"/>
        <w:vertAlign w:val="superscript"/>
      </w:rPr>
      <w:t>th</w:t>
    </w:r>
    <w:r w:rsidRPr="004B01A5">
      <w:rPr>
        <w:b/>
        <w:bCs/>
        <w:color w:val="12529F"/>
      </w:rPr>
      <w:t xml:space="preserve"> Street, Suite 500</w:t>
    </w:r>
  </w:p>
  <w:p w14:paraId="59582CFF" w14:textId="5AF01515" w:rsidR="00722655" w:rsidRDefault="00722655" w:rsidP="00722655">
    <w:pPr>
      <w:pStyle w:val="BodyText"/>
      <w:snapToGrid w:val="0"/>
      <w:jc w:val="right"/>
      <w:rPr>
        <w:b/>
        <w:bCs/>
        <w:color w:val="12529F"/>
      </w:rPr>
    </w:pPr>
    <w:r w:rsidRPr="004B01A5">
      <w:rPr>
        <w:b/>
        <w:bCs/>
        <w:color w:val="12529F"/>
      </w:rPr>
      <w:t>Sacramento, CA 95814</w:t>
    </w:r>
  </w:p>
  <w:p w14:paraId="26C31B2A" w14:textId="77777777" w:rsidR="00722655" w:rsidRDefault="00722655" w:rsidP="00722655">
    <w:pPr>
      <w:pStyle w:val="BodyText"/>
      <w:snapToGrid w:val="0"/>
      <w:jc w:val="right"/>
      <w:rPr>
        <w:b/>
        <w:color w:val="12529F"/>
        <w:spacing w:val="-4"/>
      </w:rPr>
    </w:pPr>
    <w:r w:rsidRPr="00954501">
      <w:rPr>
        <w:b/>
        <w:color w:val="12529F"/>
      </w:rPr>
      <w:t>Phone:</w:t>
    </w:r>
    <w:r w:rsidRPr="00954501">
      <w:rPr>
        <w:b/>
        <w:color w:val="12529F"/>
        <w:spacing w:val="-7"/>
      </w:rPr>
      <w:t xml:space="preserve"> </w:t>
    </w:r>
    <w:r w:rsidRPr="00954501">
      <w:rPr>
        <w:b/>
        <w:color w:val="12529F"/>
      </w:rPr>
      <w:t>916-324-8176</w:t>
    </w:r>
    <w:r w:rsidRPr="00954501">
      <w:rPr>
        <w:b/>
        <w:color w:val="12529F"/>
        <w:spacing w:val="-5"/>
      </w:rPr>
      <w:t xml:space="preserve"> </w:t>
    </w:r>
    <w:r w:rsidRPr="00954501">
      <w:rPr>
        <w:b/>
        <w:color w:val="12529F"/>
      </w:rPr>
      <w:t>|</w:t>
    </w:r>
    <w:r w:rsidRPr="00954501">
      <w:rPr>
        <w:b/>
        <w:color w:val="12529F"/>
        <w:spacing w:val="-5"/>
      </w:rPr>
      <w:t xml:space="preserve"> </w:t>
    </w:r>
    <w:r w:rsidRPr="00954501">
      <w:rPr>
        <w:b/>
        <w:color w:val="12529F"/>
      </w:rPr>
      <w:t>Fax:</w:t>
    </w:r>
    <w:r w:rsidRPr="00954501">
      <w:rPr>
        <w:b/>
        <w:color w:val="12529F"/>
        <w:spacing w:val="-4"/>
      </w:rPr>
      <w:t xml:space="preserve"> </w:t>
    </w:r>
    <w:r w:rsidRPr="00954501">
      <w:rPr>
        <w:b/>
        <w:color w:val="12529F"/>
      </w:rPr>
      <w:t>916-255-</w:t>
    </w:r>
    <w:r w:rsidRPr="00954501">
      <w:rPr>
        <w:b/>
        <w:color w:val="12529F"/>
        <w:spacing w:val="-4"/>
      </w:rPr>
      <w:t>5241</w:t>
    </w:r>
  </w:p>
  <w:p w14:paraId="25F5DCA5" w14:textId="77777777" w:rsidR="00722655" w:rsidRPr="009F0285" w:rsidRDefault="008C7B97" w:rsidP="00722655">
    <w:pPr>
      <w:pStyle w:val="BodyText"/>
      <w:snapToGrid w:val="0"/>
      <w:jc w:val="right"/>
      <w:rPr>
        <w:color w:val="034EA2"/>
      </w:rPr>
    </w:pPr>
    <w:hyperlink r:id="rId2">
      <w:r w:rsidR="00722655" w:rsidRPr="009F0285">
        <w:rPr>
          <w:b/>
          <w:color w:val="208639"/>
          <w:spacing w:val="-2"/>
        </w:rPr>
        <w:t>www.HealthHelp.ca.gov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4325"/>
    <w:multiLevelType w:val="hybridMultilevel"/>
    <w:tmpl w:val="8EF82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73493"/>
    <w:multiLevelType w:val="hybridMultilevel"/>
    <w:tmpl w:val="4BC88F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0B288F"/>
    <w:multiLevelType w:val="hybridMultilevel"/>
    <w:tmpl w:val="4332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26F6B"/>
    <w:multiLevelType w:val="hybridMultilevel"/>
    <w:tmpl w:val="9416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75F67"/>
    <w:multiLevelType w:val="hybridMultilevel"/>
    <w:tmpl w:val="17C4FAE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825519A"/>
    <w:multiLevelType w:val="hybridMultilevel"/>
    <w:tmpl w:val="4BC88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B6EDA"/>
    <w:multiLevelType w:val="hybridMultilevel"/>
    <w:tmpl w:val="F6C8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D2CA9"/>
    <w:multiLevelType w:val="hybridMultilevel"/>
    <w:tmpl w:val="4BC88F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1A7149"/>
    <w:multiLevelType w:val="hybridMultilevel"/>
    <w:tmpl w:val="1C6A8C2C"/>
    <w:lvl w:ilvl="0" w:tplc="F1805296">
      <w:start w:val="1"/>
      <w:numFmt w:val="upperRoman"/>
      <w:pStyle w:val="AccessibleHeader"/>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25AD8"/>
    <w:multiLevelType w:val="hybridMultilevel"/>
    <w:tmpl w:val="CC30E31E"/>
    <w:lvl w:ilvl="0" w:tplc="16262D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430E00"/>
    <w:multiLevelType w:val="hybridMultilevel"/>
    <w:tmpl w:val="5428D4D8"/>
    <w:lvl w:ilvl="0" w:tplc="EDA096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B4EDF"/>
    <w:multiLevelType w:val="hybridMultilevel"/>
    <w:tmpl w:val="44A263EA"/>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FD758E"/>
    <w:multiLevelType w:val="hybridMultilevel"/>
    <w:tmpl w:val="09A07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694078">
    <w:abstractNumId w:val="5"/>
  </w:num>
  <w:num w:numId="2" w16cid:durableId="382876842">
    <w:abstractNumId w:val="7"/>
  </w:num>
  <w:num w:numId="3" w16cid:durableId="446698918">
    <w:abstractNumId w:val="6"/>
  </w:num>
  <w:num w:numId="4" w16cid:durableId="765736925">
    <w:abstractNumId w:val="0"/>
  </w:num>
  <w:num w:numId="5" w16cid:durableId="1285842416">
    <w:abstractNumId w:val="11"/>
  </w:num>
  <w:num w:numId="6" w16cid:durableId="720053552">
    <w:abstractNumId w:val="8"/>
  </w:num>
  <w:num w:numId="7" w16cid:durableId="919025909">
    <w:abstractNumId w:val="1"/>
  </w:num>
  <w:num w:numId="8" w16cid:durableId="872960695">
    <w:abstractNumId w:val="4"/>
  </w:num>
  <w:num w:numId="9" w16cid:durableId="1473016469">
    <w:abstractNumId w:val="9"/>
  </w:num>
  <w:num w:numId="10" w16cid:durableId="717628386">
    <w:abstractNumId w:val="3"/>
  </w:num>
  <w:num w:numId="11" w16cid:durableId="568347822">
    <w:abstractNumId w:val="12"/>
  </w:num>
  <w:num w:numId="12" w16cid:durableId="1558979413">
    <w:abstractNumId w:val="2"/>
  </w:num>
  <w:num w:numId="13" w16cid:durableId="18348309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ocumentProtection w:edit="readOnly" w:enforcement="1" w:cryptProviderType="rsaAES" w:cryptAlgorithmClass="hash" w:cryptAlgorithmType="typeAny" w:cryptAlgorithmSid="14" w:cryptSpinCount="100000" w:hash="Lwytb5LhzTuuz6vz6/7GJ+gF8Xq1JzDlfZVCt6LRBf37rzi+XLCyNDd+wp35KfrCPNiKzLvAT6JI0cz0y5OahA==" w:salt="/royoyWk2osA/1lNH9Qxk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DD"/>
    <w:rsid w:val="00000308"/>
    <w:rsid w:val="000003FF"/>
    <w:rsid w:val="0000100C"/>
    <w:rsid w:val="00001BB7"/>
    <w:rsid w:val="00001BF5"/>
    <w:rsid w:val="00001BFA"/>
    <w:rsid w:val="00001D46"/>
    <w:rsid w:val="00002092"/>
    <w:rsid w:val="000020D5"/>
    <w:rsid w:val="0000242B"/>
    <w:rsid w:val="000025A1"/>
    <w:rsid w:val="00002D6E"/>
    <w:rsid w:val="000037D4"/>
    <w:rsid w:val="00003AE8"/>
    <w:rsid w:val="00003B15"/>
    <w:rsid w:val="000049AA"/>
    <w:rsid w:val="000063BA"/>
    <w:rsid w:val="000067E5"/>
    <w:rsid w:val="000067E6"/>
    <w:rsid w:val="000079FB"/>
    <w:rsid w:val="0001066E"/>
    <w:rsid w:val="00011AE8"/>
    <w:rsid w:val="00011C84"/>
    <w:rsid w:val="0001243C"/>
    <w:rsid w:val="0001264D"/>
    <w:rsid w:val="000150CC"/>
    <w:rsid w:val="00015222"/>
    <w:rsid w:val="0001554E"/>
    <w:rsid w:val="00015AEE"/>
    <w:rsid w:val="00015F33"/>
    <w:rsid w:val="0001753E"/>
    <w:rsid w:val="00017DF7"/>
    <w:rsid w:val="00020642"/>
    <w:rsid w:val="000208D2"/>
    <w:rsid w:val="00020FEE"/>
    <w:rsid w:val="00021657"/>
    <w:rsid w:val="0002174D"/>
    <w:rsid w:val="00023F8D"/>
    <w:rsid w:val="0002540F"/>
    <w:rsid w:val="00026179"/>
    <w:rsid w:val="0002693B"/>
    <w:rsid w:val="000277D9"/>
    <w:rsid w:val="00027AF5"/>
    <w:rsid w:val="00027D4E"/>
    <w:rsid w:val="00030573"/>
    <w:rsid w:val="000312BE"/>
    <w:rsid w:val="00031308"/>
    <w:rsid w:val="00031D99"/>
    <w:rsid w:val="000349F7"/>
    <w:rsid w:val="00034BB3"/>
    <w:rsid w:val="000358BB"/>
    <w:rsid w:val="0003592D"/>
    <w:rsid w:val="00035C0E"/>
    <w:rsid w:val="00035D3E"/>
    <w:rsid w:val="00035F6E"/>
    <w:rsid w:val="00037B39"/>
    <w:rsid w:val="00037BEF"/>
    <w:rsid w:val="00040E95"/>
    <w:rsid w:val="000415A1"/>
    <w:rsid w:val="00042492"/>
    <w:rsid w:val="000437D4"/>
    <w:rsid w:val="00044534"/>
    <w:rsid w:val="00045C15"/>
    <w:rsid w:val="000471DB"/>
    <w:rsid w:val="0004759B"/>
    <w:rsid w:val="00050F21"/>
    <w:rsid w:val="00052DE8"/>
    <w:rsid w:val="00053866"/>
    <w:rsid w:val="000543CD"/>
    <w:rsid w:val="0005500A"/>
    <w:rsid w:val="00055014"/>
    <w:rsid w:val="0005509D"/>
    <w:rsid w:val="00055138"/>
    <w:rsid w:val="0005649D"/>
    <w:rsid w:val="00056549"/>
    <w:rsid w:val="0005663B"/>
    <w:rsid w:val="0005683E"/>
    <w:rsid w:val="00060EC7"/>
    <w:rsid w:val="00062E2E"/>
    <w:rsid w:val="00063A25"/>
    <w:rsid w:val="00064141"/>
    <w:rsid w:val="00064F6C"/>
    <w:rsid w:val="00066A62"/>
    <w:rsid w:val="00066E14"/>
    <w:rsid w:val="00067574"/>
    <w:rsid w:val="00067692"/>
    <w:rsid w:val="00070BBE"/>
    <w:rsid w:val="00072907"/>
    <w:rsid w:val="00072A90"/>
    <w:rsid w:val="00073785"/>
    <w:rsid w:val="00073E0C"/>
    <w:rsid w:val="0007773F"/>
    <w:rsid w:val="00077A2A"/>
    <w:rsid w:val="00077FAA"/>
    <w:rsid w:val="000807FB"/>
    <w:rsid w:val="00080D38"/>
    <w:rsid w:val="00081222"/>
    <w:rsid w:val="00081B8A"/>
    <w:rsid w:val="00081E34"/>
    <w:rsid w:val="000827F3"/>
    <w:rsid w:val="0008281E"/>
    <w:rsid w:val="0008395E"/>
    <w:rsid w:val="000861F1"/>
    <w:rsid w:val="0008676C"/>
    <w:rsid w:val="000907AB"/>
    <w:rsid w:val="0009106A"/>
    <w:rsid w:val="000914BD"/>
    <w:rsid w:val="00094929"/>
    <w:rsid w:val="00094C6A"/>
    <w:rsid w:val="0009537E"/>
    <w:rsid w:val="00095D15"/>
    <w:rsid w:val="0009613D"/>
    <w:rsid w:val="00096A3D"/>
    <w:rsid w:val="00096B03"/>
    <w:rsid w:val="0009724B"/>
    <w:rsid w:val="00097D70"/>
    <w:rsid w:val="000A07C2"/>
    <w:rsid w:val="000A3C9E"/>
    <w:rsid w:val="000A3D8A"/>
    <w:rsid w:val="000A43EB"/>
    <w:rsid w:val="000A4B09"/>
    <w:rsid w:val="000A519E"/>
    <w:rsid w:val="000A5E02"/>
    <w:rsid w:val="000A64E7"/>
    <w:rsid w:val="000A6F10"/>
    <w:rsid w:val="000A75D8"/>
    <w:rsid w:val="000A7A96"/>
    <w:rsid w:val="000B0126"/>
    <w:rsid w:val="000B1F76"/>
    <w:rsid w:val="000B2923"/>
    <w:rsid w:val="000B2CEE"/>
    <w:rsid w:val="000B2D0C"/>
    <w:rsid w:val="000B2F98"/>
    <w:rsid w:val="000B391B"/>
    <w:rsid w:val="000B3A19"/>
    <w:rsid w:val="000B458F"/>
    <w:rsid w:val="000B4F0D"/>
    <w:rsid w:val="000B59D6"/>
    <w:rsid w:val="000B60E4"/>
    <w:rsid w:val="000B64E3"/>
    <w:rsid w:val="000B6FE7"/>
    <w:rsid w:val="000C0459"/>
    <w:rsid w:val="000C1AF9"/>
    <w:rsid w:val="000C1C57"/>
    <w:rsid w:val="000C222C"/>
    <w:rsid w:val="000C26CF"/>
    <w:rsid w:val="000C3893"/>
    <w:rsid w:val="000C3A07"/>
    <w:rsid w:val="000C4321"/>
    <w:rsid w:val="000C45E4"/>
    <w:rsid w:val="000C5844"/>
    <w:rsid w:val="000C59F0"/>
    <w:rsid w:val="000C7C1A"/>
    <w:rsid w:val="000D1B98"/>
    <w:rsid w:val="000D1BC3"/>
    <w:rsid w:val="000D2206"/>
    <w:rsid w:val="000D2B4D"/>
    <w:rsid w:val="000D2FA6"/>
    <w:rsid w:val="000D31F7"/>
    <w:rsid w:val="000D3FF0"/>
    <w:rsid w:val="000D43AD"/>
    <w:rsid w:val="000D4542"/>
    <w:rsid w:val="000D4BBF"/>
    <w:rsid w:val="000D4EEB"/>
    <w:rsid w:val="000D5651"/>
    <w:rsid w:val="000D5686"/>
    <w:rsid w:val="000D66DC"/>
    <w:rsid w:val="000D6BE4"/>
    <w:rsid w:val="000D78BB"/>
    <w:rsid w:val="000E0F9B"/>
    <w:rsid w:val="000E18B7"/>
    <w:rsid w:val="000E221F"/>
    <w:rsid w:val="000E2752"/>
    <w:rsid w:val="000E3216"/>
    <w:rsid w:val="000E4868"/>
    <w:rsid w:val="000E6E90"/>
    <w:rsid w:val="000E726A"/>
    <w:rsid w:val="000E731E"/>
    <w:rsid w:val="000F01F0"/>
    <w:rsid w:val="000F071F"/>
    <w:rsid w:val="000F1174"/>
    <w:rsid w:val="000F18D6"/>
    <w:rsid w:val="000F2430"/>
    <w:rsid w:val="000F2F19"/>
    <w:rsid w:val="000F3262"/>
    <w:rsid w:val="000F3967"/>
    <w:rsid w:val="000F40CD"/>
    <w:rsid w:val="000F4F6D"/>
    <w:rsid w:val="000F56C3"/>
    <w:rsid w:val="000F5AEC"/>
    <w:rsid w:val="000F7705"/>
    <w:rsid w:val="00101B27"/>
    <w:rsid w:val="00101BEF"/>
    <w:rsid w:val="00102CA6"/>
    <w:rsid w:val="001046C2"/>
    <w:rsid w:val="001058B0"/>
    <w:rsid w:val="00105944"/>
    <w:rsid w:val="001063B1"/>
    <w:rsid w:val="001068E5"/>
    <w:rsid w:val="00106C8D"/>
    <w:rsid w:val="00110293"/>
    <w:rsid w:val="001112E8"/>
    <w:rsid w:val="0011226F"/>
    <w:rsid w:val="00112ED7"/>
    <w:rsid w:val="00112FD9"/>
    <w:rsid w:val="00114512"/>
    <w:rsid w:val="00114A28"/>
    <w:rsid w:val="001158F5"/>
    <w:rsid w:val="00115BF3"/>
    <w:rsid w:val="001165C5"/>
    <w:rsid w:val="001174CB"/>
    <w:rsid w:val="00117956"/>
    <w:rsid w:val="00117ABF"/>
    <w:rsid w:val="00120AF9"/>
    <w:rsid w:val="001210BD"/>
    <w:rsid w:val="00121BCD"/>
    <w:rsid w:val="00121D89"/>
    <w:rsid w:val="001227F1"/>
    <w:rsid w:val="00123860"/>
    <w:rsid w:val="00123DEC"/>
    <w:rsid w:val="00123E4F"/>
    <w:rsid w:val="0012449A"/>
    <w:rsid w:val="001245E8"/>
    <w:rsid w:val="0012491E"/>
    <w:rsid w:val="00125309"/>
    <w:rsid w:val="0013000A"/>
    <w:rsid w:val="001307F0"/>
    <w:rsid w:val="00130AAF"/>
    <w:rsid w:val="00131863"/>
    <w:rsid w:val="00133E35"/>
    <w:rsid w:val="00134170"/>
    <w:rsid w:val="0013444D"/>
    <w:rsid w:val="00134684"/>
    <w:rsid w:val="0013508E"/>
    <w:rsid w:val="00136BE6"/>
    <w:rsid w:val="00140EFC"/>
    <w:rsid w:val="00143C71"/>
    <w:rsid w:val="00144055"/>
    <w:rsid w:val="00145CC4"/>
    <w:rsid w:val="0014796D"/>
    <w:rsid w:val="0015271F"/>
    <w:rsid w:val="00154440"/>
    <w:rsid w:val="001556F5"/>
    <w:rsid w:val="001565EB"/>
    <w:rsid w:val="001567A7"/>
    <w:rsid w:val="00156A03"/>
    <w:rsid w:val="00156B81"/>
    <w:rsid w:val="001575F1"/>
    <w:rsid w:val="00160C27"/>
    <w:rsid w:val="00160C45"/>
    <w:rsid w:val="00160DBA"/>
    <w:rsid w:val="00160F9F"/>
    <w:rsid w:val="00161EB3"/>
    <w:rsid w:val="0016210E"/>
    <w:rsid w:val="00162439"/>
    <w:rsid w:val="001630AF"/>
    <w:rsid w:val="00165836"/>
    <w:rsid w:val="001663F8"/>
    <w:rsid w:val="00167E4C"/>
    <w:rsid w:val="00173208"/>
    <w:rsid w:val="001738FB"/>
    <w:rsid w:val="00173965"/>
    <w:rsid w:val="00174786"/>
    <w:rsid w:val="0017479D"/>
    <w:rsid w:val="00175730"/>
    <w:rsid w:val="0018112C"/>
    <w:rsid w:val="001818DD"/>
    <w:rsid w:val="001819B5"/>
    <w:rsid w:val="00182021"/>
    <w:rsid w:val="00182269"/>
    <w:rsid w:val="001825A8"/>
    <w:rsid w:val="00182F3D"/>
    <w:rsid w:val="0018317D"/>
    <w:rsid w:val="0018427A"/>
    <w:rsid w:val="001851FE"/>
    <w:rsid w:val="00185F43"/>
    <w:rsid w:val="001867D3"/>
    <w:rsid w:val="00186DA2"/>
    <w:rsid w:val="0018755F"/>
    <w:rsid w:val="001923DE"/>
    <w:rsid w:val="00192445"/>
    <w:rsid w:val="00192AD1"/>
    <w:rsid w:val="001931B3"/>
    <w:rsid w:val="0019472B"/>
    <w:rsid w:val="001960C8"/>
    <w:rsid w:val="001A0C0A"/>
    <w:rsid w:val="001A0FD4"/>
    <w:rsid w:val="001A101B"/>
    <w:rsid w:val="001A15BC"/>
    <w:rsid w:val="001A2995"/>
    <w:rsid w:val="001A3238"/>
    <w:rsid w:val="001A3285"/>
    <w:rsid w:val="001A344E"/>
    <w:rsid w:val="001A41FD"/>
    <w:rsid w:val="001A46A6"/>
    <w:rsid w:val="001A4C05"/>
    <w:rsid w:val="001A5F76"/>
    <w:rsid w:val="001A6704"/>
    <w:rsid w:val="001A6C77"/>
    <w:rsid w:val="001A7783"/>
    <w:rsid w:val="001B02B3"/>
    <w:rsid w:val="001B0D50"/>
    <w:rsid w:val="001B151B"/>
    <w:rsid w:val="001B1838"/>
    <w:rsid w:val="001B2137"/>
    <w:rsid w:val="001B3B83"/>
    <w:rsid w:val="001B3E83"/>
    <w:rsid w:val="001B4318"/>
    <w:rsid w:val="001B48EB"/>
    <w:rsid w:val="001B4A95"/>
    <w:rsid w:val="001B4D9F"/>
    <w:rsid w:val="001B5FCD"/>
    <w:rsid w:val="001B6209"/>
    <w:rsid w:val="001B75A5"/>
    <w:rsid w:val="001B7AEB"/>
    <w:rsid w:val="001C0165"/>
    <w:rsid w:val="001C16D4"/>
    <w:rsid w:val="001C3D85"/>
    <w:rsid w:val="001C4E79"/>
    <w:rsid w:val="001C5E8D"/>
    <w:rsid w:val="001C5E8F"/>
    <w:rsid w:val="001C62F3"/>
    <w:rsid w:val="001C7FAE"/>
    <w:rsid w:val="001D0AC5"/>
    <w:rsid w:val="001D274B"/>
    <w:rsid w:val="001D28DE"/>
    <w:rsid w:val="001D2C4B"/>
    <w:rsid w:val="001D3C1F"/>
    <w:rsid w:val="001D4806"/>
    <w:rsid w:val="001D6BCC"/>
    <w:rsid w:val="001E0D0A"/>
    <w:rsid w:val="001E12BB"/>
    <w:rsid w:val="001E1C01"/>
    <w:rsid w:val="001E2A05"/>
    <w:rsid w:val="001E395A"/>
    <w:rsid w:val="001E395B"/>
    <w:rsid w:val="001E4197"/>
    <w:rsid w:val="001E45DB"/>
    <w:rsid w:val="001E4BEF"/>
    <w:rsid w:val="001E633B"/>
    <w:rsid w:val="001E651E"/>
    <w:rsid w:val="001E7C62"/>
    <w:rsid w:val="001F08C9"/>
    <w:rsid w:val="001F0A09"/>
    <w:rsid w:val="001F0C7C"/>
    <w:rsid w:val="001F37D7"/>
    <w:rsid w:val="001F4FDF"/>
    <w:rsid w:val="001F504A"/>
    <w:rsid w:val="001F52E4"/>
    <w:rsid w:val="001F5723"/>
    <w:rsid w:val="001F6091"/>
    <w:rsid w:val="001F7E89"/>
    <w:rsid w:val="00200077"/>
    <w:rsid w:val="0020274E"/>
    <w:rsid w:val="00202C7B"/>
    <w:rsid w:val="00204EDE"/>
    <w:rsid w:val="00206450"/>
    <w:rsid w:val="0020669F"/>
    <w:rsid w:val="00206F00"/>
    <w:rsid w:val="00210853"/>
    <w:rsid w:val="00211467"/>
    <w:rsid w:val="002118AD"/>
    <w:rsid w:val="00211E59"/>
    <w:rsid w:val="00212BEB"/>
    <w:rsid w:val="00213D40"/>
    <w:rsid w:val="00215343"/>
    <w:rsid w:val="00216E11"/>
    <w:rsid w:val="00216E22"/>
    <w:rsid w:val="00217942"/>
    <w:rsid w:val="00220380"/>
    <w:rsid w:val="00222331"/>
    <w:rsid w:val="002226BA"/>
    <w:rsid w:val="002226C9"/>
    <w:rsid w:val="002230DF"/>
    <w:rsid w:val="002233CA"/>
    <w:rsid w:val="0022405C"/>
    <w:rsid w:val="002244C3"/>
    <w:rsid w:val="00224795"/>
    <w:rsid w:val="00225E6C"/>
    <w:rsid w:val="00231377"/>
    <w:rsid w:val="00231A61"/>
    <w:rsid w:val="00231BE2"/>
    <w:rsid w:val="00231D1A"/>
    <w:rsid w:val="00231DAF"/>
    <w:rsid w:val="0023339E"/>
    <w:rsid w:val="002338FB"/>
    <w:rsid w:val="00233CC5"/>
    <w:rsid w:val="00233EF3"/>
    <w:rsid w:val="00234FA9"/>
    <w:rsid w:val="002365B9"/>
    <w:rsid w:val="0023687B"/>
    <w:rsid w:val="00236D86"/>
    <w:rsid w:val="0023760E"/>
    <w:rsid w:val="00237900"/>
    <w:rsid w:val="00237F16"/>
    <w:rsid w:val="002428FC"/>
    <w:rsid w:val="002430C0"/>
    <w:rsid w:val="00243C7E"/>
    <w:rsid w:val="00244BD6"/>
    <w:rsid w:val="00245375"/>
    <w:rsid w:val="00246CE2"/>
    <w:rsid w:val="00246D0F"/>
    <w:rsid w:val="00246DE4"/>
    <w:rsid w:val="00251D3B"/>
    <w:rsid w:val="00251DF1"/>
    <w:rsid w:val="002524F2"/>
    <w:rsid w:val="00252F3E"/>
    <w:rsid w:val="002537AB"/>
    <w:rsid w:val="002538C8"/>
    <w:rsid w:val="002539F4"/>
    <w:rsid w:val="00253B0B"/>
    <w:rsid w:val="0025478F"/>
    <w:rsid w:val="00254D9B"/>
    <w:rsid w:val="00256E62"/>
    <w:rsid w:val="002603D2"/>
    <w:rsid w:val="00260929"/>
    <w:rsid w:val="00260ED0"/>
    <w:rsid w:val="00260FF2"/>
    <w:rsid w:val="00261749"/>
    <w:rsid w:val="00261912"/>
    <w:rsid w:val="00262180"/>
    <w:rsid w:val="00262643"/>
    <w:rsid w:val="00263381"/>
    <w:rsid w:val="00263F44"/>
    <w:rsid w:val="00265AFE"/>
    <w:rsid w:val="00267CF5"/>
    <w:rsid w:val="00270C29"/>
    <w:rsid w:val="002712F9"/>
    <w:rsid w:val="002722B9"/>
    <w:rsid w:val="00272CA8"/>
    <w:rsid w:val="0027300D"/>
    <w:rsid w:val="00274DCD"/>
    <w:rsid w:val="00275ADF"/>
    <w:rsid w:val="002762CD"/>
    <w:rsid w:val="00277C70"/>
    <w:rsid w:val="00280D8F"/>
    <w:rsid w:val="00281175"/>
    <w:rsid w:val="002822B7"/>
    <w:rsid w:val="00282B29"/>
    <w:rsid w:val="00284C7C"/>
    <w:rsid w:val="002850C8"/>
    <w:rsid w:val="002866B3"/>
    <w:rsid w:val="00287D12"/>
    <w:rsid w:val="00290B45"/>
    <w:rsid w:val="002919FF"/>
    <w:rsid w:val="00291C99"/>
    <w:rsid w:val="00293810"/>
    <w:rsid w:val="00295786"/>
    <w:rsid w:val="002959EC"/>
    <w:rsid w:val="0029652A"/>
    <w:rsid w:val="002973FB"/>
    <w:rsid w:val="0029758C"/>
    <w:rsid w:val="002A1505"/>
    <w:rsid w:val="002A1EE3"/>
    <w:rsid w:val="002A230B"/>
    <w:rsid w:val="002A26A9"/>
    <w:rsid w:val="002A395A"/>
    <w:rsid w:val="002A3C17"/>
    <w:rsid w:val="002A4E79"/>
    <w:rsid w:val="002A552B"/>
    <w:rsid w:val="002A710F"/>
    <w:rsid w:val="002A7F86"/>
    <w:rsid w:val="002B02FC"/>
    <w:rsid w:val="002B0FB2"/>
    <w:rsid w:val="002B1412"/>
    <w:rsid w:val="002B1F4A"/>
    <w:rsid w:val="002B3D36"/>
    <w:rsid w:val="002B4489"/>
    <w:rsid w:val="002B47EA"/>
    <w:rsid w:val="002B554A"/>
    <w:rsid w:val="002B56D3"/>
    <w:rsid w:val="002B5B58"/>
    <w:rsid w:val="002B6FF8"/>
    <w:rsid w:val="002B71DF"/>
    <w:rsid w:val="002B7880"/>
    <w:rsid w:val="002B7993"/>
    <w:rsid w:val="002C0ADD"/>
    <w:rsid w:val="002C180F"/>
    <w:rsid w:val="002C1DD9"/>
    <w:rsid w:val="002C28CA"/>
    <w:rsid w:val="002C2F6C"/>
    <w:rsid w:val="002C4801"/>
    <w:rsid w:val="002C7EB2"/>
    <w:rsid w:val="002D05F5"/>
    <w:rsid w:val="002D06FA"/>
    <w:rsid w:val="002D18AF"/>
    <w:rsid w:val="002D2BA7"/>
    <w:rsid w:val="002D2F95"/>
    <w:rsid w:val="002D3822"/>
    <w:rsid w:val="002D7B5B"/>
    <w:rsid w:val="002E0096"/>
    <w:rsid w:val="002E0642"/>
    <w:rsid w:val="002E1818"/>
    <w:rsid w:val="002E1B4D"/>
    <w:rsid w:val="002E2447"/>
    <w:rsid w:val="002E24C2"/>
    <w:rsid w:val="002E2F74"/>
    <w:rsid w:val="002E355B"/>
    <w:rsid w:val="002E466A"/>
    <w:rsid w:val="002E499B"/>
    <w:rsid w:val="002E49E8"/>
    <w:rsid w:val="002E54BC"/>
    <w:rsid w:val="002E577F"/>
    <w:rsid w:val="002F073E"/>
    <w:rsid w:val="002F0E25"/>
    <w:rsid w:val="002F0E74"/>
    <w:rsid w:val="002F1326"/>
    <w:rsid w:val="002F16E3"/>
    <w:rsid w:val="002F1B20"/>
    <w:rsid w:val="002F2B82"/>
    <w:rsid w:val="002F305F"/>
    <w:rsid w:val="002F31D5"/>
    <w:rsid w:val="002F345D"/>
    <w:rsid w:val="002F55B1"/>
    <w:rsid w:val="002F5E52"/>
    <w:rsid w:val="002F6B12"/>
    <w:rsid w:val="002F746C"/>
    <w:rsid w:val="00300A7B"/>
    <w:rsid w:val="00300B5A"/>
    <w:rsid w:val="00300E97"/>
    <w:rsid w:val="0030196A"/>
    <w:rsid w:val="00303C34"/>
    <w:rsid w:val="00304DCB"/>
    <w:rsid w:val="00305010"/>
    <w:rsid w:val="00305B77"/>
    <w:rsid w:val="00305EB7"/>
    <w:rsid w:val="00307373"/>
    <w:rsid w:val="003105B6"/>
    <w:rsid w:val="00311128"/>
    <w:rsid w:val="0031177E"/>
    <w:rsid w:val="00311D11"/>
    <w:rsid w:val="003124E8"/>
    <w:rsid w:val="00312BD2"/>
    <w:rsid w:val="00313447"/>
    <w:rsid w:val="003138A3"/>
    <w:rsid w:val="003141BD"/>
    <w:rsid w:val="00314447"/>
    <w:rsid w:val="00314927"/>
    <w:rsid w:val="003149A6"/>
    <w:rsid w:val="00315644"/>
    <w:rsid w:val="00315893"/>
    <w:rsid w:val="00315D2B"/>
    <w:rsid w:val="0031618F"/>
    <w:rsid w:val="00316C54"/>
    <w:rsid w:val="003176E2"/>
    <w:rsid w:val="00317770"/>
    <w:rsid w:val="00320A3E"/>
    <w:rsid w:val="00320D42"/>
    <w:rsid w:val="0032208C"/>
    <w:rsid w:val="0032274F"/>
    <w:rsid w:val="00323270"/>
    <w:rsid w:val="0032439B"/>
    <w:rsid w:val="00324B44"/>
    <w:rsid w:val="00325AAE"/>
    <w:rsid w:val="00325E23"/>
    <w:rsid w:val="003265C8"/>
    <w:rsid w:val="0032678B"/>
    <w:rsid w:val="00326D45"/>
    <w:rsid w:val="00330420"/>
    <w:rsid w:val="00330B2D"/>
    <w:rsid w:val="00330BBD"/>
    <w:rsid w:val="003318A7"/>
    <w:rsid w:val="00332221"/>
    <w:rsid w:val="0033299C"/>
    <w:rsid w:val="003338E3"/>
    <w:rsid w:val="00333C6B"/>
    <w:rsid w:val="00335411"/>
    <w:rsid w:val="003358AA"/>
    <w:rsid w:val="003363FD"/>
    <w:rsid w:val="00340A00"/>
    <w:rsid w:val="00341048"/>
    <w:rsid w:val="00341652"/>
    <w:rsid w:val="003429BC"/>
    <w:rsid w:val="0034317C"/>
    <w:rsid w:val="003441C9"/>
    <w:rsid w:val="0034517A"/>
    <w:rsid w:val="00345D0E"/>
    <w:rsid w:val="003461BD"/>
    <w:rsid w:val="00346667"/>
    <w:rsid w:val="00347C5F"/>
    <w:rsid w:val="003503A5"/>
    <w:rsid w:val="003508E1"/>
    <w:rsid w:val="00351376"/>
    <w:rsid w:val="00351713"/>
    <w:rsid w:val="00351BCB"/>
    <w:rsid w:val="00352229"/>
    <w:rsid w:val="00352522"/>
    <w:rsid w:val="003528A9"/>
    <w:rsid w:val="00352A8D"/>
    <w:rsid w:val="003533A3"/>
    <w:rsid w:val="00353761"/>
    <w:rsid w:val="003542B9"/>
    <w:rsid w:val="00355979"/>
    <w:rsid w:val="0035782A"/>
    <w:rsid w:val="00360938"/>
    <w:rsid w:val="0036097B"/>
    <w:rsid w:val="00360B9E"/>
    <w:rsid w:val="003613D3"/>
    <w:rsid w:val="00364375"/>
    <w:rsid w:val="003644B0"/>
    <w:rsid w:val="00364B30"/>
    <w:rsid w:val="003653C8"/>
    <w:rsid w:val="00366690"/>
    <w:rsid w:val="00367926"/>
    <w:rsid w:val="00367D0C"/>
    <w:rsid w:val="003701FE"/>
    <w:rsid w:val="00371C45"/>
    <w:rsid w:val="00372222"/>
    <w:rsid w:val="0037244C"/>
    <w:rsid w:val="003724A8"/>
    <w:rsid w:val="0037294F"/>
    <w:rsid w:val="00373669"/>
    <w:rsid w:val="0037383B"/>
    <w:rsid w:val="00373C50"/>
    <w:rsid w:val="00375463"/>
    <w:rsid w:val="0037546D"/>
    <w:rsid w:val="00375FAD"/>
    <w:rsid w:val="00376A1A"/>
    <w:rsid w:val="00376ACA"/>
    <w:rsid w:val="00377415"/>
    <w:rsid w:val="0038012E"/>
    <w:rsid w:val="003806EF"/>
    <w:rsid w:val="00381833"/>
    <w:rsid w:val="00381BB0"/>
    <w:rsid w:val="003826F8"/>
    <w:rsid w:val="00382804"/>
    <w:rsid w:val="00383868"/>
    <w:rsid w:val="00383D9F"/>
    <w:rsid w:val="0038444B"/>
    <w:rsid w:val="00384E5F"/>
    <w:rsid w:val="00385A19"/>
    <w:rsid w:val="0038661C"/>
    <w:rsid w:val="00386994"/>
    <w:rsid w:val="00387184"/>
    <w:rsid w:val="0038741F"/>
    <w:rsid w:val="00387FBC"/>
    <w:rsid w:val="003900ED"/>
    <w:rsid w:val="003914D6"/>
    <w:rsid w:val="003928D5"/>
    <w:rsid w:val="00393219"/>
    <w:rsid w:val="003937A9"/>
    <w:rsid w:val="00393988"/>
    <w:rsid w:val="00393B83"/>
    <w:rsid w:val="00394696"/>
    <w:rsid w:val="00394FDD"/>
    <w:rsid w:val="00395E75"/>
    <w:rsid w:val="003966A6"/>
    <w:rsid w:val="003970C9"/>
    <w:rsid w:val="003A21F8"/>
    <w:rsid w:val="003A318E"/>
    <w:rsid w:val="003A37F9"/>
    <w:rsid w:val="003A3940"/>
    <w:rsid w:val="003A3C4F"/>
    <w:rsid w:val="003A4654"/>
    <w:rsid w:val="003A4D92"/>
    <w:rsid w:val="003A581E"/>
    <w:rsid w:val="003A77A4"/>
    <w:rsid w:val="003A7D78"/>
    <w:rsid w:val="003B0856"/>
    <w:rsid w:val="003B0A75"/>
    <w:rsid w:val="003B0C24"/>
    <w:rsid w:val="003B0CCB"/>
    <w:rsid w:val="003B0CEE"/>
    <w:rsid w:val="003B1358"/>
    <w:rsid w:val="003B294E"/>
    <w:rsid w:val="003B2C4D"/>
    <w:rsid w:val="003B2D24"/>
    <w:rsid w:val="003B4DEA"/>
    <w:rsid w:val="003B4EFA"/>
    <w:rsid w:val="003B6256"/>
    <w:rsid w:val="003B6373"/>
    <w:rsid w:val="003B7C97"/>
    <w:rsid w:val="003C0112"/>
    <w:rsid w:val="003C09E5"/>
    <w:rsid w:val="003C11C7"/>
    <w:rsid w:val="003C33AF"/>
    <w:rsid w:val="003C4359"/>
    <w:rsid w:val="003C53D7"/>
    <w:rsid w:val="003C6FA1"/>
    <w:rsid w:val="003C757A"/>
    <w:rsid w:val="003C769C"/>
    <w:rsid w:val="003D0EAD"/>
    <w:rsid w:val="003D1207"/>
    <w:rsid w:val="003D2325"/>
    <w:rsid w:val="003D2670"/>
    <w:rsid w:val="003D3EFB"/>
    <w:rsid w:val="003D41AC"/>
    <w:rsid w:val="003D5F0F"/>
    <w:rsid w:val="003D6427"/>
    <w:rsid w:val="003D64F9"/>
    <w:rsid w:val="003D6A5F"/>
    <w:rsid w:val="003D7004"/>
    <w:rsid w:val="003D756E"/>
    <w:rsid w:val="003D7B7A"/>
    <w:rsid w:val="003D7CEA"/>
    <w:rsid w:val="003D7DD3"/>
    <w:rsid w:val="003E0E4E"/>
    <w:rsid w:val="003E5DCD"/>
    <w:rsid w:val="003E5F34"/>
    <w:rsid w:val="003E67AB"/>
    <w:rsid w:val="003E6984"/>
    <w:rsid w:val="003E7280"/>
    <w:rsid w:val="003E77A2"/>
    <w:rsid w:val="003F22C0"/>
    <w:rsid w:val="003F2B32"/>
    <w:rsid w:val="003F2BC1"/>
    <w:rsid w:val="003F56B8"/>
    <w:rsid w:val="003F5902"/>
    <w:rsid w:val="003F63F4"/>
    <w:rsid w:val="00400AD7"/>
    <w:rsid w:val="00400B2C"/>
    <w:rsid w:val="00401471"/>
    <w:rsid w:val="0040259F"/>
    <w:rsid w:val="00402EA9"/>
    <w:rsid w:val="004038C3"/>
    <w:rsid w:val="00403E45"/>
    <w:rsid w:val="00403F3A"/>
    <w:rsid w:val="00405B79"/>
    <w:rsid w:val="00405D59"/>
    <w:rsid w:val="00407865"/>
    <w:rsid w:val="00407932"/>
    <w:rsid w:val="00410132"/>
    <w:rsid w:val="00410980"/>
    <w:rsid w:val="00411343"/>
    <w:rsid w:val="00411DC5"/>
    <w:rsid w:val="00411E37"/>
    <w:rsid w:val="0041398C"/>
    <w:rsid w:val="00415030"/>
    <w:rsid w:val="00415907"/>
    <w:rsid w:val="004159F0"/>
    <w:rsid w:val="00416289"/>
    <w:rsid w:val="00416FDB"/>
    <w:rsid w:val="00417B2A"/>
    <w:rsid w:val="004201B6"/>
    <w:rsid w:val="00420577"/>
    <w:rsid w:val="00420BF0"/>
    <w:rsid w:val="004234E3"/>
    <w:rsid w:val="00424CC4"/>
    <w:rsid w:val="0042544C"/>
    <w:rsid w:val="00425B62"/>
    <w:rsid w:val="004261F7"/>
    <w:rsid w:val="00427A63"/>
    <w:rsid w:val="00430B4B"/>
    <w:rsid w:val="00432C58"/>
    <w:rsid w:val="00434D1D"/>
    <w:rsid w:val="004357AA"/>
    <w:rsid w:val="00435B38"/>
    <w:rsid w:val="00436AC1"/>
    <w:rsid w:val="00437127"/>
    <w:rsid w:val="00442138"/>
    <w:rsid w:val="00442BAE"/>
    <w:rsid w:val="00442F58"/>
    <w:rsid w:val="00445917"/>
    <w:rsid w:val="0044593A"/>
    <w:rsid w:val="004479E7"/>
    <w:rsid w:val="00451D9B"/>
    <w:rsid w:val="00452603"/>
    <w:rsid w:val="00452C1D"/>
    <w:rsid w:val="0045341B"/>
    <w:rsid w:val="00453C79"/>
    <w:rsid w:val="0045479C"/>
    <w:rsid w:val="00454A9E"/>
    <w:rsid w:val="00454BBC"/>
    <w:rsid w:val="00455655"/>
    <w:rsid w:val="004556F1"/>
    <w:rsid w:val="00456CE3"/>
    <w:rsid w:val="00462802"/>
    <w:rsid w:val="00462D02"/>
    <w:rsid w:val="00464415"/>
    <w:rsid w:val="00464E0C"/>
    <w:rsid w:val="0046521C"/>
    <w:rsid w:val="00465257"/>
    <w:rsid w:val="00465850"/>
    <w:rsid w:val="00465AAF"/>
    <w:rsid w:val="00465FE7"/>
    <w:rsid w:val="00467635"/>
    <w:rsid w:val="00470E88"/>
    <w:rsid w:val="0047126A"/>
    <w:rsid w:val="004718DE"/>
    <w:rsid w:val="00471BA2"/>
    <w:rsid w:val="00471D6B"/>
    <w:rsid w:val="0047317E"/>
    <w:rsid w:val="00473613"/>
    <w:rsid w:val="004761E5"/>
    <w:rsid w:val="00477AC0"/>
    <w:rsid w:val="00481518"/>
    <w:rsid w:val="004824F4"/>
    <w:rsid w:val="00483389"/>
    <w:rsid w:val="00484C99"/>
    <w:rsid w:val="004857B9"/>
    <w:rsid w:val="00485C96"/>
    <w:rsid w:val="004906F4"/>
    <w:rsid w:val="00491ADF"/>
    <w:rsid w:val="0049298B"/>
    <w:rsid w:val="00493567"/>
    <w:rsid w:val="0049362A"/>
    <w:rsid w:val="00494587"/>
    <w:rsid w:val="004945A0"/>
    <w:rsid w:val="00496EA2"/>
    <w:rsid w:val="00497E33"/>
    <w:rsid w:val="004A0A17"/>
    <w:rsid w:val="004A0D98"/>
    <w:rsid w:val="004A19BB"/>
    <w:rsid w:val="004A1D3A"/>
    <w:rsid w:val="004A1DA4"/>
    <w:rsid w:val="004A343C"/>
    <w:rsid w:val="004A36F9"/>
    <w:rsid w:val="004A4312"/>
    <w:rsid w:val="004A450C"/>
    <w:rsid w:val="004A464F"/>
    <w:rsid w:val="004B014E"/>
    <w:rsid w:val="004B05DA"/>
    <w:rsid w:val="004B243B"/>
    <w:rsid w:val="004B2F1A"/>
    <w:rsid w:val="004B3175"/>
    <w:rsid w:val="004B36A8"/>
    <w:rsid w:val="004B3D94"/>
    <w:rsid w:val="004B401F"/>
    <w:rsid w:val="004B507B"/>
    <w:rsid w:val="004B583E"/>
    <w:rsid w:val="004B5B97"/>
    <w:rsid w:val="004B6647"/>
    <w:rsid w:val="004B66F2"/>
    <w:rsid w:val="004B6B5C"/>
    <w:rsid w:val="004B7261"/>
    <w:rsid w:val="004B729A"/>
    <w:rsid w:val="004B7C53"/>
    <w:rsid w:val="004C02CD"/>
    <w:rsid w:val="004C04AE"/>
    <w:rsid w:val="004C066F"/>
    <w:rsid w:val="004C0B56"/>
    <w:rsid w:val="004C11AD"/>
    <w:rsid w:val="004C292C"/>
    <w:rsid w:val="004C2995"/>
    <w:rsid w:val="004C36FB"/>
    <w:rsid w:val="004C46BB"/>
    <w:rsid w:val="004C6A2C"/>
    <w:rsid w:val="004C75F6"/>
    <w:rsid w:val="004C79CF"/>
    <w:rsid w:val="004D15B0"/>
    <w:rsid w:val="004D38BF"/>
    <w:rsid w:val="004D3ABD"/>
    <w:rsid w:val="004D43C4"/>
    <w:rsid w:val="004D444B"/>
    <w:rsid w:val="004D5088"/>
    <w:rsid w:val="004D6014"/>
    <w:rsid w:val="004D6B07"/>
    <w:rsid w:val="004D6B98"/>
    <w:rsid w:val="004D6E0C"/>
    <w:rsid w:val="004D765E"/>
    <w:rsid w:val="004D7A10"/>
    <w:rsid w:val="004D7FE1"/>
    <w:rsid w:val="004E0791"/>
    <w:rsid w:val="004E1ABC"/>
    <w:rsid w:val="004E1C48"/>
    <w:rsid w:val="004E1FBB"/>
    <w:rsid w:val="004E4060"/>
    <w:rsid w:val="004E48BD"/>
    <w:rsid w:val="004E6327"/>
    <w:rsid w:val="004E6D22"/>
    <w:rsid w:val="004E7089"/>
    <w:rsid w:val="004E7B80"/>
    <w:rsid w:val="004E7F37"/>
    <w:rsid w:val="004F030A"/>
    <w:rsid w:val="004F0FD2"/>
    <w:rsid w:val="004F111C"/>
    <w:rsid w:val="004F2698"/>
    <w:rsid w:val="004F58F7"/>
    <w:rsid w:val="004F7E9C"/>
    <w:rsid w:val="005015AA"/>
    <w:rsid w:val="00502411"/>
    <w:rsid w:val="00502F51"/>
    <w:rsid w:val="0050376D"/>
    <w:rsid w:val="00503AE3"/>
    <w:rsid w:val="00503BD1"/>
    <w:rsid w:val="00504F24"/>
    <w:rsid w:val="005067FC"/>
    <w:rsid w:val="00510A93"/>
    <w:rsid w:val="00510AF8"/>
    <w:rsid w:val="0051112F"/>
    <w:rsid w:val="00511243"/>
    <w:rsid w:val="00511DC7"/>
    <w:rsid w:val="005123F7"/>
    <w:rsid w:val="00513A17"/>
    <w:rsid w:val="00514076"/>
    <w:rsid w:val="00515C1D"/>
    <w:rsid w:val="005177D0"/>
    <w:rsid w:val="00517E42"/>
    <w:rsid w:val="00520068"/>
    <w:rsid w:val="005218FF"/>
    <w:rsid w:val="0052228B"/>
    <w:rsid w:val="00522447"/>
    <w:rsid w:val="00522644"/>
    <w:rsid w:val="00522D98"/>
    <w:rsid w:val="005238DF"/>
    <w:rsid w:val="00523B8E"/>
    <w:rsid w:val="0052445D"/>
    <w:rsid w:val="00524DAF"/>
    <w:rsid w:val="00525380"/>
    <w:rsid w:val="00525421"/>
    <w:rsid w:val="00526958"/>
    <w:rsid w:val="00526CEA"/>
    <w:rsid w:val="00530152"/>
    <w:rsid w:val="005303A5"/>
    <w:rsid w:val="00530DD5"/>
    <w:rsid w:val="0053180D"/>
    <w:rsid w:val="00531F83"/>
    <w:rsid w:val="005322B8"/>
    <w:rsid w:val="0053280C"/>
    <w:rsid w:val="00532F80"/>
    <w:rsid w:val="00532FC8"/>
    <w:rsid w:val="00533FE5"/>
    <w:rsid w:val="0053463B"/>
    <w:rsid w:val="0053523C"/>
    <w:rsid w:val="00535F7A"/>
    <w:rsid w:val="00537039"/>
    <w:rsid w:val="00537557"/>
    <w:rsid w:val="0053783F"/>
    <w:rsid w:val="00541B9C"/>
    <w:rsid w:val="00542A5E"/>
    <w:rsid w:val="005440D1"/>
    <w:rsid w:val="00544207"/>
    <w:rsid w:val="00544377"/>
    <w:rsid w:val="00544436"/>
    <w:rsid w:val="00545287"/>
    <w:rsid w:val="005461BF"/>
    <w:rsid w:val="005500FB"/>
    <w:rsid w:val="00550BE4"/>
    <w:rsid w:val="00550E1E"/>
    <w:rsid w:val="0055140C"/>
    <w:rsid w:val="0055176B"/>
    <w:rsid w:val="005537A6"/>
    <w:rsid w:val="00553B4E"/>
    <w:rsid w:val="00554B46"/>
    <w:rsid w:val="00554BFB"/>
    <w:rsid w:val="00554DA1"/>
    <w:rsid w:val="00556281"/>
    <w:rsid w:val="0055634F"/>
    <w:rsid w:val="00556431"/>
    <w:rsid w:val="00556CFB"/>
    <w:rsid w:val="005604DD"/>
    <w:rsid w:val="00560DFC"/>
    <w:rsid w:val="00561D6D"/>
    <w:rsid w:val="00561FEF"/>
    <w:rsid w:val="005621D1"/>
    <w:rsid w:val="00562607"/>
    <w:rsid w:val="00562CED"/>
    <w:rsid w:val="00563593"/>
    <w:rsid w:val="00564755"/>
    <w:rsid w:val="005652F4"/>
    <w:rsid w:val="005657DE"/>
    <w:rsid w:val="00565F89"/>
    <w:rsid w:val="0056649B"/>
    <w:rsid w:val="00566E19"/>
    <w:rsid w:val="00570815"/>
    <w:rsid w:val="005724F3"/>
    <w:rsid w:val="00572C75"/>
    <w:rsid w:val="00572F7E"/>
    <w:rsid w:val="00573D10"/>
    <w:rsid w:val="0057404E"/>
    <w:rsid w:val="00574CAB"/>
    <w:rsid w:val="0057513D"/>
    <w:rsid w:val="00576060"/>
    <w:rsid w:val="005767E7"/>
    <w:rsid w:val="0057711D"/>
    <w:rsid w:val="00577176"/>
    <w:rsid w:val="00577523"/>
    <w:rsid w:val="005775B8"/>
    <w:rsid w:val="00577646"/>
    <w:rsid w:val="005777DD"/>
    <w:rsid w:val="00577D8A"/>
    <w:rsid w:val="00577DAA"/>
    <w:rsid w:val="005802DF"/>
    <w:rsid w:val="00580B1E"/>
    <w:rsid w:val="00581096"/>
    <w:rsid w:val="00581118"/>
    <w:rsid w:val="00582565"/>
    <w:rsid w:val="00582A12"/>
    <w:rsid w:val="005833DB"/>
    <w:rsid w:val="00583502"/>
    <w:rsid w:val="005842E6"/>
    <w:rsid w:val="00585BAE"/>
    <w:rsid w:val="00585C9C"/>
    <w:rsid w:val="005866BA"/>
    <w:rsid w:val="005868A0"/>
    <w:rsid w:val="005869F2"/>
    <w:rsid w:val="00590821"/>
    <w:rsid w:val="005945F4"/>
    <w:rsid w:val="005956F0"/>
    <w:rsid w:val="00595A27"/>
    <w:rsid w:val="00595AB7"/>
    <w:rsid w:val="005966C3"/>
    <w:rsid w:val="00597D24"/>
    <w:rsid w:val="005A001A"/>
    <w:rsid w:val="005A1215"/>
    <w:rsid w:val="005A1394"/>
    <w:rsid w:val="005A2A1A"/>
    <w:rsid w:val="005A35B2"/>
    <w:rsid w:val="005A3DC0"/>
    <w:rsid w:val="005A3E03"/>
    <w:rsid w:val="005A4138"/>
    <w:rsid w:val="005A4947"/>
    <w:rsid w:val="005A4974"/>
    <w:rsid w:val="005A53B0"/>
    <w:rsid w:val="005A5D01"/>
    <w:rsid w:val="005A7AEF"/>
    <w:rsid w:val="005B1296"/>
    <w:rsid w:val="005B1965"/>
    <w:rsid w:val="005B29C5"/>
    <w:rsid w:val="005B36AB"/>
    <w:rsid w:val="005B40D5"/>
    <w:rsid w:val="005B41C8"/>
    <w:rsid w:val="005B51DC"/>
    <w:rsid w:val="005B56AB"/>
    <w:rsid w:val="005B56DF"/>
    <w:rsid w:val="005B60F3"/>
    <w:rsid w:val="005B6F11"/>
    <w:rsid w:val="005B7592"/>
    <w:rsid w:val="005C03F7"/>
    <w:rsid w:val="005C0D5E"/>
    <w:rsid w:val="005C0DB5"/>
    <w:rsid w:val="005C4B2B"/>
    <w:rsid w:val="005C4E45"/>
    <w:rsid w:val="005C5A16"/>
    <w:rsid w:val="005C63A7"/>
    <w:rsid w:val="005C73BA"/>
    <w:rsid w:val="005D08A2"/>
    <w:rsid w:val="005D1740"/>
    <w:rsid w:val="005D2AA4"/>
    <w:rsid w:val="005D37F6"/>
    <w:rsid w:val="005D425E"/>
    <w:rsid w:val="005D4EE5"/>
    <w:rsid w:val="005D6144"/>
    <w:rsid w:val="005D6A72"/>
    <w:rsid w:val="005D71B3"/>
    <w:rsid w:val="005D783A"/>
    <w:rsid w:val="005D7C0A"/>
    <w:rsid w:val="005D7D3E"/>
    <w:rsid w:val="005E0E8D"/>
    <w:rsid w:val="005E150A"/>
    <w:rsid w:val="005E152E"/>
    <w:rsid w:val="005E16BE"/>
    <w:rsid w:val="005E1EED"/>
    <w:rsid w:val="005E2CF8"/>
    <w:rsid w:val="005E32A3"/>
    <w:rsid w:val="005E331C"/>
    <w:rsid w:val="005E3C3D"/>
    <w:rsid w:val="005E4F63"/>
    <w:rsid w:val="005E5A1C"/>
    <w:rsid w:val="005E632E"/>
    <w:rsid w:val="005E640C"/>
    <w:rsid w:val="005F06D6"/>
    <w:rsid w:val="005F0AD6"/>
    <w:rsid w:val="005F0E2F"/>
    <w:rsid w:val="005F12AB"/>
    <w:rsid w:val="005F3B3D"/>
    <w:rsid w:val="005F4063"/>
    <w:rsid w:val="005F4220"/>
    <w:rsid w:val="005F491C"/>
    <w:rsid w:val="005F501A"/>
    <w:rsid w:val="005F552B"/>
    <w:rsid w:val="005F55F5"/>
    <w:rsid w:val="005F5B8C"/>
    <w:rsid w:val="005F5C85"/>
    <w:rsid w:val="005F6412"/>
    <w:rsid w:val="005F7E66"/>
    <w:rsid w:val="006002AC"/>
    <w:rsid w:val="00600337"/>
    <w:rsid w:val="00600549"/>
    <w:rsid w:val="00600CD4"/>
    <w:rsid w:val="00601B71"/>
    <w:rsid w:val="00601EFF"/>
    <w:rsid w:val="006030A1"/>
    <w:rsid w:val="00603554"/>
    <w:rsid w:val="006040E1"/>
    <w:rsid w:val="006041CC"/>
    <w:rsid w:val="006050D8"/>
    <w:rsid w:val="00605769"/>
    <w:rsid w:val="006060BE"/>
    <w:rsid w:val="00606DE1"/>
    <w:rsid w:val="00610231"/>
    <w:rsid w:val="00611844"/>
    <w:rsid w:val="006149B9"/>
    <w:rsid w:val="00614E9F"/>
    <w:rsid w:val="00615134"/>
    <w:rsid w:val="00615695"/>
    <w:rsid w:val="00615E0A"/>
    <w:rsid w:val="00616D96"/>
    <w:rsid w:val="006177A1"/>
    <w:rsid w:val="00622E39"/>
    <w:rsid w:val="00623882"/>
    <w:rsid w:val="00623A74"/>
    <w:rsid w:val="00624A98"/>
    <w:rsid w:val="00624E71"/>
    <w:rsid w:val="00625CDE"/>
    <w:rsid w:val="00627B3A"/>
    <w:rsid w:val="00630E57"/>
    <w:rsid w:val="00631AF6"/>
    <w:rsid w:val="00631C5D"/>
    <w:rsid w:val="00631E26"/>
    <w:rsid w:val="00632100"/>
    <w:rsid w:val="0063214C"/>
    <w:rsid w:val="006324E8"/>
    <w:rsid w:val="00632A02"/>
    <w:rsid w:val="00632BCF"/>
    <w:rsid w:val="00635361"/>
    <w:rsid w:val="0063757B"/>
    <w:rsid w:val="00640256"/>
    <w:rsid w:val="00640B0F"/>
    <w:rsid w:val="00641068"/>
    <w:rsid w:val="00641978"/>
    <w:rsid w:val="00643E44"/>
    <w:rsid w:val="00645832"/>
    <w:rsid w:val="00645B98"/>
    <w:rsid w:val="006464D1"/>
    <w:rsid w:val="00646995"/>
    <w:rsid w:val="00646DC4"/>
    <w:rsid w:val="00646F91"/>
    <w:rsid w:val="0065027C"/>
    <w:rsid w:val="00651011"/>
    <w:rsid w:val="006524E0"/>
    <w:rsid w:val="0065508F"/>
    <w:rsid w:val="00655703"/>
    <w:rsid w:val="0065573C"/>
    <w:rsid w:val="00655C94"/>
    <w:rsid w:val="0065672F"/>
    <w:rsid w:val="00657AE1"/>
    <w:rsid w:val="00660E4F"/>
    <w:rsid w:val="0066111E"/>
    <w:rsid w:val="00663326"/>
    <w:rsid w:val="0066391A"/>
    <w:rsid w:val="006658E0"/>
    <w:rsid w:val="0066610B"/>
    <w:rsid w:val="00666999"/>
    <w:rsid w:val="00667405"/>
    <w:rsid w:val="00667531"/>
    <w:rsid w:val="00670A90"/>
    <w:rsid w:val="0067366E"/>
    <w:rsid w:val="00674BB0"/>
    <w:rsid w:val="00674EA1"/>
    <w:rsid w:val="00675890"/>
    <w:rsid w:val="00676F98"/>
    <w:rsid w:val="006772C9"/>
    <w:rsid w:val="00677AF2"/>
    <w:rsid w:val="00680443"/>
    <w:rsid w:val="006804E4"/>
    <w:rsid w:val="006805F8"/>
    <w:rsid w:val="00683417"/>
    <w:rsid w:val="00683BBF"/>
    <w:rsid w:val="00684F20"/>
    <w:rsid w:val="00685520"/>
    <w:rsid w:val="00686016"/>
    <w:rsid w:val="00687F2F"/>
    <w:rsid w:val="00692DB2"/>
    <w:rsid w:val="006931A5"/>
    <w:rsid w:val="00693504"/>
    <w:rsid w:val="006948CF"/>
    <w:rsid w:val="00695288"/>
    <w:rsid w:val="00696ADF"/>
    <w:rsid w:val="00697B1E"/>
    <w:rsid w:val="00697BA1"/>
    <w:rsid w:val="00697DC2"/>
    <w:rsid w:val="006A02C6"/>
    <w:rsid w:val="006A0481"/>
    <w:rsid w:val="006A0D4B"/>
    <w:rsid w:val="006A0DB7"/>
    <w:rsid w:val="006A2AE9"/>
    <w:rsid w:val="006A2D57"/>
    <w:rsid w:val="006A4152"/>
    <w:rsid w:val="006A4323"/>
    <w:rsid w:val="006A45B8"/>
    <w:rsid w:val="006A5964"/>
    <w:rsid w:val="006A7A17"/>
    <w:rsid w:val="006A7F3F"/>
    <w:rsid w:val="006B03E7"/>
    <w:rsid w:val="006B1391"/>
    <w:rsid w:val="006B221A"/>
    <w:rsid w:val="006B2ED3"/>
    <w:rsid w:val="006B38C0"/>
    <w:rsid w:val="006B3A04"/>
    <w:rsid w:val="006B4AE8"/>
    <w:rsid w:val="006B4F7A"/>
    <w:rsid w:val="006B5175"/>
    <w:rsid w:val="006B6438"/>
    <w:rsid w:val="006B6DE2"/>
    <w:rsid w:val="006B7E19"/>
    <w:rsid w:val="006C0DEC"/>
    <w:rsid w:val="006C1D75"/>
    <w:rsid w:val="006C395D"/>
    <w:rsid w:val="006C3FA1"/>
    <w:rsid w:val="006C73CF"/>
    <w:rsid w:val="006D0902"/>
    <w:rsid w:val="006D1C29"/>
    <w:rsid w:val="006D2B50"/>
    <w:rsid w:val="006D345B"/>
    <w:rsid w:val="006D5757"/>
    <w:rsid w:val="006D6B71"/>
    <w:rsid w:val="006D75AF"/>
    <w:rsid w:val="006E0592"/>
    <w:rsid w:val="006E12A9"/>
    <w:rsid w:val="006E1AE7"/>
    <w:rsid w:val="006E2C24"/>
    <w:rsid w:val="006E33ED"/>
    <w:rsid w:val="006E3619"/>
    <w:rsid w:val="006E395E"/>
    <w:rsid w:val="006E3982"/>
    <w:rsid w:val="006E4885"/>
    <w:rsid w:val="006E519A"/>
    <w:rsid w:val="006E5C4B"/>
    <w:rsid w:val="006E6C35"/>
    <w:rsid w:val="006E6F28"/>
    <w:rsid w:val="006E753A"/>
    <w:rsid w:val="006E7E73"/>
    <w:rsid w:val="006F0162"/>
    <w:rsid w:val="006F0865"/>
    <w:rsid w:val="006F0DF5"/>
    <w:rsid w:val="006F11AA"/>
    <w:rsid w:val="006F179C"/>
    <w:rsid w:val="006F1D40"/>
    <w:rsid w:val="006F3934"/>
    <w:rsid w:val="006F43E1"/>
    <w:rsid w:val="006F5512"/>
    <w:rsid w:val="006F66D5"/>
    <w:rsid w:val="006F70F6"/>
    <w:rsid w:val="006F7D6E"/>
    <w:rsid w:val="0070168D"/>
    <w:rsid w:val="00703A93"/>
    <w:rsid w:val="00703FEA"/>
    <w:rsid w:val="0070453F"/>
    <w:rsid w:val="00706A04"/>
    <w:rsid w:val="00707BC3"/>
    <w:rsid w:val="00707EC7"/>
    <w:rsid w:val="00710832"/>
    <w:rsid w:val="00710E99"/>
    <w:rsid w:val="00713927"/>
    <w:rsid w:val="00715690"/>
    <w:rsid w:val="00715FDD"/>
    <w:rsid w:val="007167F1"/>
    <w:rsid w:val="00716803"/>
    <w:rsid w:val="007174AD"/>
    <w:rsid w:val="00720004"/>
    <w:rsid w:val="00721CFB"/>
    <w:rsid w:val="00721EEB"/>
    <w:rsid w:val="00722655"/>
    <w:rsid w:val="00722AFF"/>
    <w:rsid w:val="00723326"/>
    <w:rsid w:val="007259FE"/>
    <w:rsid w:val="00725D01"/>
    <w:rsid w:val="0072636B"/>
    <w:rsid w:val="00726D56"/>
    <w:rsid w:val="007309DA"/>
    <w:rsid w:val="00730E90"/>
    <w:rsid w:val="007317E8"/>
    <w:rsid w:val="00732696"/>
    <w:rsid w:val="00732B64"/>
    <w:rsid w:val="007345AB"/>
    <w:rsid w:val="00735093"/>
    <w:rsid w:val="0073609F"/>
    <w:rsid w:val="00736AED"/>
    <w:rsid w:val="0073747C"/>
    <w:rsid w:val="007400A2"/>
    <w:rsid w:val="0074055C"/>
    <w:rsid w:val="0074176A"/>
    <w:rsid w:val="0074194B"/>
    <w:rsid w:val="00741C4B"/>
    <w:rsid w:val="00741FFF"/>
    <w:rsid w:val="007420FC"/>
    <w:rsid w:val="007434D1"/>
    <w:rsid w:val="00743F20"/>
    <w:rsid w:val="00744CB9"/>
    <w:rsid w:val="00746008"/>
    <w:rsid w:val="00747808"/>
    <w:rsid w:val="00750B8B"/>
    <w:rsid w:val="00750B93"/>
    <w:rsid w:val="007511B4"/>
    <w:rsid w:val="00752BDB"/>
    <w:rsid w:val="00753292"/>
    <w:rsid w:val="00753A51"/>
    <w:rsid w:val="00754DE0"/>
    <w:rsid w:val="00755276"/>
    <w:rsid w:val="00755F28"/>
    <w:rsid w:val="00756D72"/>
    <w:rsid w:val="00757CC9"/>
    <w:rsid w:val="0076043E"/>
    <w:rsid w:val="00760995"/>
    <w:rsid w:val="007609BB"/>
    <w:rsid w:val="007611D8"/>
    <w:rsid w:val="0076163F"/>
    <w:rsid w:val="007630D6"/>
    <w:rsid w:val="00763F5D"/>
    <w:rsid w:val="00764450"/>
    <w:rsid w:val="007645A4"/>
    <w:rsid w:val="00764DE2"/>
    <w:rsid w:val="00765C96"/>
    <w:rsid w:val="00766E5F"/>
    <w:rsid w:val="00767305"/>
    <w:rsid w:val="0077004A"/>
    <w:rsid w:val="00770545"/>
    <w:rsid w:val="007705ED"/>
    <w:rsid w:val="00770D4F"/>
    <w:rsid w:val="00771014"/>
    <w:rsid w:val="00771711"/>
    <w:rsid w:val="00772B51"/>
    <w:rsid w:val="00775234"/>
    <w:rsid w:val="007759DF"/>
    <w:rsid w:val="00777177"/>
    <w:rsid w:val="00777217"/>
    <w:rsid w:val="0077733A"/>
    <w:rsid w:val="00777788"/>
    <w:rsid w:val="007803D0"/>
    <w:rsid w:val="00780927"/>
    <w:rsid w:val="00782376"/>
    <w:rsid w:val="007828F0"/>
    <w:rsid w:val="00783D05"/>
    <w:rsid w:val="00784551"/>
    <w:rsid w:val="00784973"/>
    <w:rsid w:val="00785809"/>
    <w:rsid w:val="0078654B"/>
    <w:rsid w:val="00787096"/>
    <w:rsid w:val="007872AC"/>
    <w:rsid w:val="00787C0B"/>
    <w:rsid w:val="00790898"/>
    <w:rsid w:val="00791120"/>
    <w:rsid w:val="00792B91"/>
    <w:rsid w:val="00793EC4"/>
    <w:rsid w:val="0079409C"/>
    <w:rsid w:val="00794538"/>
    <w:rsid w:val="00794AF6"/>
    <w:rsid w:val="00794CF4"/>
    <w:rsid w:val="00797159"/>
    <w:rsid w:val="007974AC"/>
    <w:rsid w:val="007A23C2"/>
    <w:rsid w:val="007A295C"/>
    <w:rsid w:val="007A4272"/>
    <w:rsid w:val="007A5DE4"/>
    <w:rsid w:val="007B0D5E"/>
    <w:rsid w:val="007B0ED4"/>
    <w:rsid w:val="007B1A5B"/>
    <w:rsid w:val="007B27AE"/>
    <w:rsid w:val="007B38BB"/>
    <w:rsid w:val="007B39CE"/>
    <w:rsid w:val="007B3AAE"/>
    <w:rsid w:val="007B4BED"/>
    <w:rsid w:val="007B4E82"/>
    <w:rsid w:val="007B5B3B"/>
    <w:rsid w:val="007B611D"/>
    <w:rsid w:val="007B65C5"/>
    <w:rsid w:val="007B680D"/>
    <w:rsid w:val="007B6DA0"/>
    <w:rsid w:val="007B6ECB"/>
    <w:rsid w:val="007B70A6"/>
    <w:rsid w:val="007B7153"/>
    <w:rsid w:val="007C0024"/>
    <w:rsid w:val="007C00E1"/>
    <w:rsid w:val="007C18CF"/>
    <w:rsid w:val="007C2101"/>
    <w:rsid w:val="007C2A33"/>
    <w:rsid w:val="007C2BD1"/>
    <w:rsid w:val="007C33D8"/>
    <w:rsid w:val="007C3BC0"/>
    <w:rsid w:val="007C454E"/>
    <w:rsid w:val="007C45C7"/>
    <w:rsid w:val="007C50C6"/>
    <w:rsid w:val="007C59A1"/>
    <w:rsid w:val="007C6054"/>
    <w:rsid w:val="007C701D"/>
    <w:rsid w:val="007D104F"/>
    <w:rsid w:val="007D1215"/>
    <w:rsid w:val="007D2583"/>
    <w:rsid w:val="007D2D89"/>
    <w:rsid w:val="007D2E9D"/>
    <w:rsid w:val="007D3074"/>
    <w:rsid w:val="007D3D8C"/>
    <w:rsid w:val="007D3E5A"/>
    <w:rsid w:val="007D44DF"/>
    <w:rsid w:val="007D4648"/>
    <w:rsid w:val="007D622B"/>
    <w:rsid w:val="007D6312"/>
    <w:rsid w:val="007D643F"/>
    <w:rsid w:val="007D66A5"/>
    <w:rsid w:val="007D6A5D"/>
    <w:rsid w:val="007D7234"/>
    <w:rsid w:val="007D768F"/>
    <w:rsid w:val="007E0662"/>
    <w:rsid w:val="007E0A43"/>
    <w:rsid w:val="007E0A8D"/>
    <w:rsid w:val="007E1448"/>
    <w:rsid w:val="007E26DB"/>
    <w:rsid w:val="007E2D32"/>
    <w:rsid w:val="007E30C8"/>
    <w:rsid w:val="007E450B"/>
    <w:rsid w:val="007E5641"/>
    <w:rsid w:val="007E5E40"/>
    <w:rsid w:val="007E6E6E"/>
    <w:rsid w:val="007E71AD"/>
    <w:rsid w:val="007F01DC"/>
    <w:rsid w:val="007F0731"/>
    <w:rsid w:val="007F09EF"/>
    <w:rsid w:val="007F2BAD"/>
    <w:rsid w:val="007F3F1D"/>
    <w:rsid w:val="007F3F5F"/>
    <w:rsid w:val="007F6977"/>
    <w:rsid w:val="007F7503"/>
    <w:rsid w:val="00800250"/>
    <w:rsid w:val="0080049F"/>
    <w:rsid w:val="00800E63"/>
    <w:rsid w:val="00801E99"/>
    <w:rsid w:val="008036E5"/>
    <w:rsid w:val="0080390B"/>
    <w:rsid w:val="00803B37"/>
    <w:rsid w:val="00803C36"/>
    <w:rsid w:val="00804089"/>
    <w:rsid w:val="00804E9E"/>
    <w:rsid w:val="00804F83"/>
    <w:rsid w:val="00805E62"/>
    <w:rsid w:val="008061E5"/>
    <w:rsid w:val="008071DC"/>
    <w:rsid w:val="00810BA0"/>
    <w:rsid w:val="0081183A"/>
    <w:rsid w:val="00811EC8"/>
    <w:rsid w:val="00812661"/>
    <w:rsid w:val="00812C94"/>
    <w:rsid w:val="0081400A"/>
    <w:rsid w:val="00814C4D"/>
    <w:rsid w:val="008159B8"/>
    <w:rsid w:val="00816A5B"/>
    <w:rsid w:val="00817EBE"/>
    <w:rsid w:val="0082198C"/>
    <w:rsid w:val="00821E63"/>
    <w:rsid w:val="00821E6F"/>
    <w:rsid w:val="00821EEA"/>
    <w:rsid w:val="008228B3"/>
    <w:rsid w:val="00823C39"/>
    <w:rsid w:val="00824916"/>
    <w:rsid w:val="00824E71"/>
    <w:rsid w:val="008251A8"/>
    <w:rsid w:val="00825D58"/>
    <w:rsid w:val="00826E02"/>
    <w:rsid w:val="00827F2E"/>
    <w:rsid w:val="008315BC"/>
    <w:rsid w:val="00831E6D"/>
    <w:rsid w:val="00831E8B"/>
    <w:rsid w:val="00831F88"/>
    <w:rsid w:val="00833CF3"/>
    <w:rsid w:val="008348EE"/>
    <w:rsid w:val="00834D11"/>
    <w:rsid w:val="00836067"/>
    <w:rsid w:val="0083663A"/>
    <w:rsid w:val="00836A83"/>
    <w:rsid w:val="008408C3"/>
    <w:rsid w:val="00840AA7"/>
    <w:rsid w:val="00841253"/>
    <w:rsid w:val="008416CE"/>
    <w:rsid w:val="00841EBD"/>
    <w:rsid w:val="00842348"/>
    <w:rsid w:val="00842AA6"/>
    <w:rsid w:val="00843062"/>
    <w:rsid w:val="00843312"/>
    <w:rsid w:val="00843709"/>
    <w:rsid w:val="00843D89"/>
    <w:rsid w:val="00844A71"/>
    <w:rsid w:val="00844E14"/>
    <w:rsid w:val="008460B8"/>
    <w:rsid w:val="00847239"/>
    <w:rsid w:val="008473EA"/>
    <w:rsid w:val="00851D83"/>
    <w:rsid w:val="008529A2"/>
    <w:rsid w:val="008556CD"/>
    <w:rsid w:val="00855B24"/>
    <w:rsid w:val="00856853"/>
    <w:rsid w:val="00860081"/>
    <w:rsid w:val="00860D0B"/>
    <w:rsid w:val="008624DD"/>
    <w:rsid w:val="008625EA"/>
    <w:rsid w:val="00862B4D"/>
    <w:rsid w:val="008634BC"/>
    <w:rsid w:val="008641A9"/>
    <w:rsid w:val="008642F7"/>
    <w:rsid w:val="0086497A"/>
    <w:rsid w:val="008654A7"/>
    <w:rsid w:val="00866800"/>
    <w:rsid w:val="0086699A"/>
    <w:rsid w:val="00866BF5"/>
    <w:rsid w:val="008672B0"/>
    <w:rsid w:val="008702D3"/>
    <w:rsid w:val="00871162"/>
    <w:rsid w:val="00872AC1"/>
    <w:rsid w:val="00872B81"/>
    <w:rsid w:val="00872E08"/>
    <w:rsid w:val="00873016"/>
    <w:rsid w:val="0087364C"/>
    <w:rsid w:val="00874657"/>
    <w:rsid w:val="00874865"/>
    <w:rsid w:val="0087524B"/>
    <w:rsid w:val="0087628F"/>
    <w:rsid w:val="00876B2C"/>
    <w:rsid w:val="00880472"/>
    <w:rsid w:val="00881973"/>
    <w:rsid w:val="0088311E"/>
    <w:rsid w:val="00883311"/>
    <w:rsid w:val="008836D6"/>
    <w:rsid w:val="0088400F"/>
    <w:rsid w:val="00887370"/>
    <w:rsid w:val="00887580"/>
    <w:rsid w:val="00890033"/>
    <w:rsid w:val="00890A00"/>
    <w:rsid w:val="00890C93"/>
    <w:rsid w:val="00890EB1"/>
    <w:rsid w:val="008911D9"/>
    <w:rsid w:val="00891ECD"/>
    <w:rsid w:val="00891FBE"/>
    <w:rsid w:val="00892A4C"/>
    <w:rsid w:val="00894BDB"/>
    <w:rsid w:val="008953CF"/>
    <w:rsid w:val="00895A9A"/>
    <w:rsid w:val="00895C5F"/>
    <w:rsid w:val="00896601"/>
    <w:rsid w:val="0089719F"/>
    <w:rsid w:val="008A128A"/>
    <w:rsid w:val="008A2821"/>
    <w:rsid w:val="008A2B82"/>
    <w:rsid w:val="008A3113"/>
    <w:rsid w:val="008A37B5"/>
    <w:rsid w:val="008A42EF"/>
    <w:rsid w:val="008A500A"/>
    <w:rsid w:val="008A7E35"/>
    <w:rsid w:val="008B0119"/>
    <w:rsid w:val="008B1B3D"/>
    <w:rsid w:val="008B1D00"/>
    <w:rsid w:val="008B1DE6"/>
    <w:rsid w:val="008B2300"/>
    <w:rsid w:val="008B2E05"/>
    <w:rsid w:val="008B30BB"/>
    <w:rsid w:val="008B42AF"/>
    <w:rsid w:val="008B4B81"/>
    <w:rsid w:val="008B50BA"/>
    <w:rsid w:val="008B6302"/>
    <w:rsid w:val="008B6521"/>
    <w:rsid w:val="008C0015"/>
    <w:rsid w:val="008C12A2"/>
    <w:rsid w:val="008C18B7"/>
    <w:rsid w:val="008C1A83"/>
    <w:rsid w:val="008C201B"/>
    <w:rsid w:val="008C3051"/>
    <w:rsid w:val="008C3CE8"/>
    <w:rsid w:val="008C72CB"/>
    <w:rsid w:val="008C7AC8"/>
    <w:rsid w:val="008C7B97"/>
    <w:rsid w:val="008D06C8"/>
    <w:rsid w:val="008D1408"/>
    <w:rsid w:val="008D1587"/>
    <w:rsid w:val="008D1790"/>
    <w:rsid w:val="008D1B4D"/>
    <w:rsid w:val="008D1DA3"/>
    <w:rsid w:val="008D3ECA"/>
    <w:rsid w:val="008D4475"/>
    <w:rsid w:val="008D4B50"/>
    <w:rsid w:val="008D4BD6"/>
    <w:rsid w:val="008D4C6C"/>
    <w:rsid w:val="008D4CC0"/>
    <w:rsid w:val="008D5594"/>
    <w:rsid w:val="008D6C0B"/>
    <w:rsid w:val="008D7991"/>
    <w:rsid w:val="008E0559"/>
    <w:rsid w:val="008E16AE"/>
    <w:rsid w:val="008E31E4"/>
    <w:rsid w:val="008E344D"/>
    <w:rsid w:val="008E37C1"/>
    <w:rsid w:val="008E399B"/>
    <w:rsid w:val="008E558A"/>
    <w:rsid w:val="008E67BD"/>
    <w:rsid w:val="008F00F4"/>
    <w:rsid w:val="008F0813"/>
    <w:rsid w:val="008F1849"/>
    <w:rsid w:val="008F1C51"/>
    <w:rsid w:val="008F2BA4"/>
    <w:rsid w:val="008F3EA7"/>
    <w:rsid w:val="008F3FB8"/>
    <w:rsid w:val="008F4170"/>
    <w:rsid w:val="008F41C7"/>
    <w:rsid w:val="008F51A9"/>
    <w:rsid w:val="008F646C"/>
    <w:rsid w:val="008F7186"/>
    <w:rsid w:val="00901D4A"/>
    <w:rsid w:val="00901EA8"/>
    <w:rsid w:val="0090243E"/>
    <w:rsid w:val="009027D9"/>
    <w:rsid w:val="0090390A"/>
    <w:rsid w:val="009046C7"/>
    <w:rsid w:val="00905BAE"/>
    <w:rsid w:val="00905F7A"/>
    <w:rsid w:val="00906734"/>
    <w:rsid w:val="00906F40"/>
    <w:rsid w:val="00907760"/>
    <w:rsid w:val="00907839"/>
    <w:rsid w:val="00911EA4"/>
    <w:rsid w:val="009123C8"/>
    <w:rsid w:val="00912D8D"/>
    <w:rsid w:val="0091424B"/>
    <w:rsid w:val="00914442"/>
    <w:rsid w:val="0091450F"/>
    <w:rsid w:val="00914ACD"/>
    <w:rsid w:val="009151DE"/>
    <w:rsid w:val="00915E4F"/>
    <w:rsid w:val="00916525"/>
    <w:rsid w:val="00916690"/>
    <w:rsid w:val="00917C67"/>
    <w:rsid w:val="00917C68"/>
    <w:rsid w:val="00920BD7"/>
    <w:rsid w:val="00921696"/>
    <w:rsid w:val="0092174B"/>
    <w:rsid w:val="00921A49"/>
    <w:rsid w:val="009242AE"/>
    <w:rsid w:val="009251A4"/>
    <w:rsid w:val="009257F9"/>
    <w:rsid w:val="009300C3"/>
    <w:rsid w:val="00930B0F"/>
    <w:rsid w:val="00933485"/>
    <w:rsid w:val="00933543"/>
    <w:rsid w:val="00933A0B"/>
    <w:rsid w:val="00933F19"/>
    <w:rsid w:val="0093411D"/>
    <w:rsid w:val="009372AC"/>
    <w:rsid w:val="00937AA0"/>
    <w:rsid w:val="009409B3"/>
    <w:rsid w:val="00940D6E"/>
    <w:rsid w:val="00941431"/>
    <w:rsid w:val="00941BED"/>
    <w:rsid w:val="0094326B"/>
    <w:rsid w:val="009439A7"/>
    <w:rsid w:val="009442BE"/>
    <w:rsid w:val="009444C6"/>
    <w:rsid w:val="00944652"/>
    <w:rsid w:val="0094476F"/>
    <w:rsid w:val="0094759D"/>
    <w:rsid w:val="0095076C"/>
    <w:rsid w:val="00951796"/>
    <w:rsid w:val="00951BC5"/>
    <w:rsid w:val="00952ABB"/>
    <w:rsid w:val="00952D43"/>
    <w:rsid w:val="009531B5"/>
    <w:rsid w:val="0095344C"/>
    <w:rsid w:val="009548CE"/>
    <w:rsid w:val="00954D08"/>
    <w:rsid w:val="0095501E"/>
    <w:rsid w:val="0095549B"/>
    <w:rsid w:val="00955745"/>
    <w:rsid w:val="009558D2"/>
    <w:rsid w:val="00955E12"/>
    <w:rsid w:val="009569E8"/>
    <w:rsid w:val="00956C2C"/>
    <w:rsid w:val="0095726C"/>
    <w:rsid w:val="009573F7"/>
    <w:rsid w:val="00957FC4"/>
    <w:rsid w:val="009616B4"/>
    <w:rsid w:val="009618C0"/>
    <w:rsid w:val="00962F5B"/>
    <w:rsid w:val="00962FBA"/>
    <w:rsid w:val="0096442A"/>
    <w:rsid w:val="00964500"/>
    <w:rsid w:val="00964DE1"/>
    <w:rsid w:val="00965E88"/>
    <w:rsid w:val="0096617C"/>
    <w:rsid w:val="009665BF"/>
    <w:rsid w:val="00967FD7"/>
    <w:rsid w:val="00970219"/>
    <w:rsid w:val="009720FE"/>
    <w:rsid w:val="0097288A"/>
    <w:rsid w:val="00972B95"/>
    <w:rsid w:val="00972F15"/>
    <w:rsid w:val="0097366A"/>
    <w:rsid w:val="00973F84"/>
    <w:rsid w:val="0097475B"/>
    <w:rsid w:val="00976C8A"/>
    <w:rsid w:val="00977215"/>
    <w:rsid w:val="00977BF4"/>
    <w:rsid w:val="00981173"/>
    <w:rsid w:val="00981EA4"/>
    <w:rsid w:val="009823B6"/>
    <w:rsid w:val="0098262C"/>
    <w:rsid w:val="00983473"/>
    <w:rsid w:val="00983D88"/>
    <w:rsid w:val="00984A42"/>
    <w:rsid w:val="009859E7"/>
    <w:rsid w:val="00985FEC"/>
    <w:rsid w:val="0098615A"/>
    <w:rsid w:val="00986A9D"/>
    <w:rsid w:val="009876C9"/>
    <w:rsid w:val="0098781F"/>
    <w:rsid w:val="00987B96"/>
    <w:rsid w:val="009905BB"/>
    <w:rsid w:val="00991F4B"/>
    <w:rsid w:val="00992047"/>
    <w:rsid w:val="00992207"/>
    <w:rsid w:val="00992A5F"/>
    <w:rsid w:val="00992EBD"/>
    <w:rsid w:val="00994350"/>
    <w:rsid w:val="00994729"/>
    <w:rsid w:val="0099490F"/>
    <w:rsid w:val="00995A2B"/>
    <w:rsid w:val="00995E66"/>
    <w:rsid w:val="00996C7C"/>
    <w:rsid w:val="009A0752"/>
    <w:rsid w:val="009A0D8D"/>
    <w:rsid w:val="009A118F"/>
    <w:rsid w:val="009A1294"/>
    <w:rsid w:val="009A1F84"/>
    <w:rsid w:val="009A33ED"/>
    <w:rsid w:val="009A3704"/>
    <w:rsid w:val="009A3A4F"/>
    <w:rsid w:val="009A3C2F"/>
    <w:rsid w:val="009A3E47"/>
    <w:rsid w:val="009A5299"/>
    <w:rsid w:val="009A689C"/>
    <w:rsid w:val="009A6CC8"/>
    <w:rsid w:val="009A708F"/>
    <w:rsid w:val="009B0963"/>
    <w:rsid w:val="009B1CCF"/>
    <w:rsid w:val="009B285F"/>
    <w:rsid w:val="009B364D"/>
    <w:rsid w:val="009B38F2"/>
    <w:rsid w:val="009B3D25"/>
    <w:rsid w:val="009B503E"/>
    <w:rsid w:val="009B51CB"/>
    <w:rsid w:val="009B51D3"/>
    <w:rsid w:val="009B5EF6"/>
    <w:rsid w:val="009B6407"/>
    <w:rsid w:val="009B6C20"/>
    <w:rsid w:val="009B6CD9"/>
    <w:rsid w:val="009B7CE1"/>
    <w:rsid w:val="009C02E7"/>
    <w:rsid w:val="009C0310"/>
    <w:rsid w:val="009C05A7"/>
    <w:rsid w:val="009C1A2A"/>
    <w:rsid w:val="009C1EF2"/>
    <w:rsid w:val="009C2907"/>
    <w:rsid w:val="009C4576"/>
    <w:rsid w:val="009C5B39"/>
    <w:rsid w:val="009C5B3B"/>
    <w:rsid w:val="009C5BD4"/>
    <w:rsid w:val="009C5CB0"/>
    <w:rsid w:val="009C5F60"/>
    <w:rsid w:val="009C6499"/>
    <w:rsid w:val="009C6E4D"/>
    <w:rsid w:val="009C7BB7"/>
    <w:rsid w:val="009D05B9"/>
    <w:rsid w:val="009D27C2"/>
    <w:rsid w:val="009D3971"/>
    <w:rsid w:val="009D70AC"/>
    <w:rsid w:val="009D761C"/>
    <w:rsid w:val="009E16B4"/>
    <w:rsid w:val="009E308E"/>
    <w:rsid w:val="009E40CC"/>
    <w:rsid w:val="009E41A8"/>
    <w:rsid w:val="009E5B28"/>
    <w:rsid w:val="009E609A"/>
    <w:rsid w:val="009E60E6"/>
    <w:rsid w:val="009E6109"/>
    <w:rsid w:val="009E6DAF"/>
    <w:rsid w:val="009E7869"/>
    <w:rsid w:val="009E7BFE"/>
    <w:rsid w:val="009F0285"/>
    <w:rsid w:val="009F0D0B"/>
    <w:rsid w:val="009F15F1"/>
    <w:rsid w:val="009F19C6"/>
    <w:rsid w:val="009F30FC"/>
    <w:rsid w:val="009F46FC"/>
    <w:rsid w:val="009F4FD2"/>
    <w:rsid w:val="009F65AA"/>
    <w:rsid w:val="009F7B9F"/>
    <w:rsid w:val="00A005E8"/>
    <w:rsid w:val="00A00962"/>
    <w:rsid w:val="00A02772"/>
    <w:rsid w:val="00A02C07"/>
    <w:rsid w:val="00A03033"/>
    <w:rsid w:val="00A03080"/>
    <w:rsid w:val="00A03BA9"/>
    <w:rsid w:val="00A049A8"/>
    <w:rsid w:val="00A063CD"/>
    <w:rsid w:val="00A079B0"/>
    <w:rsid w:val="00A07EF2"/>
    <w:rsid w:val="00A100F5"/>
    <w:rsid w:val="00A13F82"/>
    <w:rsid w:val="00A1449C"/>
    <w:rsid w:val="00A14FCA"/>
    <w:rsid w:val="00A15408"/>
    <w:rsid w:val="00A15CE9"/>
    <w:rsid w:val="00A160AD"/>
    <w:rsid w:val="00A1677E"/>
    <w:rsid w:val="00A16B83"/>
    <w:rsid w:val="00A1728C"/>
    <w:rsid w:val="00A17CB5"/>
    <w:rsid w:val="00A21124"/>
    <w:rsid w:val="00A21611"/>
    <w:rsid w:val="00A24050"/>
    <w:rsid w:val="00A2417E"/>
    <w:rsid w:val="00A243EC"/>
    <w:rsid w:val="00A24943"/>
    <w:rsid w:val="00A26D0E"/>
    <w:rsid w:val="00A30677"/>
    <w:rsid w:val="00A30F7A"/>
    <w:rsid w:val="00A31B0D"/>
    <w:rsid w:val="00A329CD"/>
    <w:rsid w:val="00A32D2C"/>
    <w:rsid w:val="00A33748"/>
    <w:rsid w:val="00A34964"/>
    <w:rsid w:val="00A34C19"/>
    <w:rsid w:val="00A374C5"/>
    <w:rsid w:val="00A37985"/>
    <w:rsid w:val="00A405F4"/>
    <w:rsid w:val="00A40B81"/>
    <w:rsid w:val="00A42D71"/>
    <w:rsid w:val="00A431E1"/>
    <w:rsid w:val="00A44D89"/>
    <w:rsid w:val="00A46C20"/>
    <w:rsid w:val="00A47046"/>
    <w:rsid w:val="00A4795B"/>
    <w:rsid w:val="00A50ED1"/>
    <w:rsid w:val="00A52001"/>
    <w:rsid w:val="00A53C25"/>
    <w:rsid w:val="00A53C6D"/>
    <w:rsid w:val="00A548D0"/>
    <w:rsid w:val="00A549CB"/>
    <w:rsid w:val="00A54DED"/>
    <w:rsid w:val="00A56056"/>
    <w:rsid w:val="00A564C5"/>
    <w:rsid w:val="00A57043"/>
    <w:rsid w:val="00A57B9B"/>
    <w:rsid w:val="00A60906"/>
    <w:rsid w:val="00A60B76"/>
    <w:rsid w:val="00A60B80"/>
    <w:rsid w:val="00A60F97"/>
    <w:rsid w:val="00A61394"/>
    <w:rsid w:val="00A6199A"/>
    <w:rsid w:val="00A6501E"/>
    <w:rsid w:val="00A65107"/>
    <w:rsid w:val="00A651C0"/>
    <w:rsid w:val="00A652DA"/>
    <w:rsid w:val="00A658E6"/>
    <w:rsid w:val="00A65DAF"/>
    <w:rsid w:val="00A666EC"/>
    <w:rsid w:val="00A70293"/>
    <w:rsid w:val="00A71759"/>
    <w:rsid w:val="00A72442"/>
    <w:rsid w:val="00A72751"/>
    <w:rsid w:val="00A7391C"/>
    <w:rsid w:val="00A74834"/>
    <w:rsid w:val="00A74B38"/>
    <w:rsid w:val="00A76003"/>
    <w:rsid w:val="00A7681E"/>
    <w:rsid w:val="00A77797"/>
    <w:rsid w:val="00A77FD1"/>
    <w:rsid w:val="00A8049B"/>
    <w:rsid w:val="00A80E65"/>
    <w:rsid w:val="00A8281D"/>
    <w:rsid w:val="00A83EF0"/>
    <w:rsid w:val="00A84A24"/>
    <w:rsid w:val="00A84D90"/>
    <w:rsid w:val="00A85D9E"/>
    <w:rsid w:val="00A86422"/>
    <w:rsid w:val="00A86751"/>
    <w:rsid w:val="00A86D07"/>
    <w:rsid w:val="00A87D50"/>
    <w:rsid w:val="00A91378"/>
    <w:rsid w:val="00A91A89"/>
    <w:rsid w:val="00A91E5B"/>
    <w:rsid w:val="00A97303"/>
    <w:rsid w:val="00AA0B67"/>
    <w:rsid w:val="00AA0E48"/>
    <w:rsid w:val="00AA1226"/>
    <w:rsid w:val="00AA163E"/>
    <w:rsid w:val="00AA2032"/>
    <w:rsid w:val="00AA25F9"/>
    <w:rsid w:val="00AA3B3B"/>
    <w:rsid w:val="00AA3C0A"/>
    <w:rsid w:val="00AA3E09"/>
    <w:rsid w:val="00AA3F0B"/>
    <w:rsid w:val="00AA402D"/>
    <w:rsid w:val="00AA438C"/>
    <w:rsid w:val="00AA6F76"/>
    <w:rsid w:val="00AB1161"/>
    <w:rsid w:val="00AB4990"/>
    <w:rsid w:val="00AB4AEF"/>
    <w:rsid w:val="00AB69AA"/>
    <w:rsid w:val="00AB6DD8"/>
    <w:rsid w:val="00AB7C81"/>
    <w:rsid w:val="00AB7FCC"/>
    <w:rsid w:val="00AC0A49"/>
    <w:rsid w:val="00AC159C"/>
    <w:rsid w:val="00AC1C78"/>
    <w:rsid w:val="00AC32D6"/>
    <w:rsid w:val="00AC48A4"/>
    <w:rsid w:val="00AC5AA9"/>
    <w:rsid w:val="00AC6A14"/>
    <w:rsid w:val="00AC6C49"/>
    <w:rsid w:val="00AC73A3"/>
    <w:rsid w:val="00AC7C05"/>
    <w:rsid w:val="00AC7EB9"/>
    <w:rsid w:val="00AD0D52"/>
    <w:rsid w:val="00AD2AB5"/>
    <w:rsid w:val="00AD2AFC"/>
    <w:rsid w:val="00AD3949"/>
    <w:rsid w:val="00AD3B3D"/>
    <w:rsid w:val="00AD3BBC"/>
    <w:rsid w:val="00AD47FD"/>
    <w:rsid w:val="00AD52CD"/>
    <w:rsid w:val="00AD600D"/>
    <w:rsid w:val="00AD6115"/>
    <w:rsid w:val="00AD6430"/>
    <w:rsid w:val="00AD70B2"/>
    <w:rsid w:val="00AD7259"/>
    <w:rsid w:val="00AE05C7"/>
    <w:rsid w:val="00AE1758"/>
    <w:rsid w:val="00AE1EAA"/>
    <w:rsid w:val="00AE40BC"/>
    <w:rsid w:val="00AE4805"/>
    <w:rsid w:val="00AE5C84"/>
    <w:rsid w:val="00AE654E"/>
    <w:rsid w:val="00AE66B0"/>
    <w:rsid w:val="00AE68AD"/>
    <w:rsid w:val="00AE690F"/>
    <w:rsid w:val="00AE7636"/>
    <w:rsid w:val="00AE7C29"/>
    <w:rsid w:val="00AF27B5"/>
    <w:rsid w:val="00AF4F37"/>
    <w:rsid w:val="00AF7071"/>
    <w:rsid w:val="00AF738E"/>
    <w:rsid w:val="00AF769E"/>
    <w:rsid w:val="00AF77F3"/>
    <w:rsid w:val="00AF7ED5"/>
    <w:rsid w:val="00B002D1"/>
    <w:rsid w:val="00B002F8"/>
    <w:rsid w:val="00B006BF"/>
    <w:rsid w:val="00B00D95"/>
    <w:rsid w:val="00B01EB4"/>
    <w:rsid w:val="00B01FC4"/>
    <w:rsid w:val="00B022D0"/>
    <w:rsid w:val="00B02B25"/>
    <w:rsid w:val="00B0393B"/>
    <w:rsid w:val="00B04224"/>
    <w:rsid w:val="00B04EA0"/>
    <w:rsid w:val="00B073D5"/>
    <w:rsid w:val="00B0756B"/>
    <w:rsid w:val="00B07C5F"/>
    <w:rsid w:val="00B10326"/>
    <w:rsid w:val="00B1188B"/>
    <w:rsid w:val="00B1220B"/>
    <w:rsid w:val="00B12DAE"/>
    <w:rsid w:val="00B13136"/>
    <w:rsid w:val="00B134D9"/>
    <w:rsid w:val="00B134FF"/>
    <w:rsid w:val="00B13A41"/>
    <w:rsid w:val="00B13A4D"/>
    <w:rsid w:val="00B13B6D"/>
    <w:rsid w:val="00B152D2"/>
    <w:rsid w:val="00B162C6"/>
    <w:rsid w:val="00B16905"/>
    <w:rsid w:val="00B16ADF"/>
    <w:rsid w:val="00B16ECC"/>
    <w:rsid w:val="00B17774"/>
    <w:rsid w:val="00B1787D"/>
    <w:rsid w:val="00B206C5"/>
    <w:rsid w:val="00B21331"/>
    <w:rsid w:val="00B215F3"/>
    <w:rsid w:val="00B219BC"/>
    <w:rsid w:val="00B220A6"/>
    <w:rsid w:val="00B22E3E"/>
    <w:rsid w:val="00B23891"/>
    <w:rsid w:val="00B23CDA"/>
    <w:rsid w:val="00B241F8"/>
    <w:rsid w:val="00B241FC"/>
    <w:rsid w:val="00B24DCD"/>
    <w:rsid w:val="00B2529A"/>
    <w:rsid w:val="00B26734"/>
    <w:rsid w:val="00B26D96"/>
    <w:rsid w:val="00B27E2E"/>
    <w:rsid w:val="00B304D5"/>
    <w:rsid w:val="00B30CBA"/>
    <w:rsid w:val="00B31503"/>
    <w:rsid w:val="00B32EDA"/>
    <w:rsid w:val="00B33195"/>
    <w:rsid w:val="00B334A4"/>
    <w:rsid w:val="00B33946"/>
    <w:rsid w:val="00B3632C"/>
    <w:rsid w:val="00B364FC"/>
    <w:rsid w:val="00B366D6"/>
    <w:rsid w:val="00B370D5"/>
    <w:rsid w:val="00B378FC"/>
    <w:rsid w:val="00B37A99"/>
    <w:rsid w:val="00B37B42"/>
    <w:rsid w:val="00B37F27"/>
    <w:rsid w:val="00B40164"/>
    <w:rsid w:val="00B40822"/>
    <w:rsid w:val="00B413D3"/>
    <w:rsid w:val="00B416F0"/>
    <w:rsid w:val="00B41DA7"/>
    <w:rsid w:val="00B42413"/>
    <w:rsid w:val="00B42CDB"/>
    <w:rsid w:val="00B434A1"/>
    <w:rsid w:val="00B438C8"/>
    <w:rsid w:val="00B441CC"/>
    <w:rsid w:val="00B4442D"/>
    <w:rsid w:val="00B45326"/>
    <w:rsid w:val="00B45A2B"/>
    <w:rsid w:val="00B468E8"/>
    <w:rsid w:val="00B47C7F"/>
    <w:rsid w:val="00B50CC0"/>
    <w:rsid w:val="00B5143B"/>
    <w:rsid w:val="00B52117"/>
    <w:rsid w:val="00B52BD8"/>
    <w:rsid w:val="00B53686"/>
    <w:rsid w:val="00B54A85"/>
    <w:rsid w:val="00B55937"/>
    <w:rsid w:val="00B55B82"/>
    <w:rsid w:val="00B562A0"/>
    <w:rsid w:val="00B5645D"/>
    <w:rsid w:val="00B56F76"/>
    <w:rsid w:val="00B5712F"/>
    <w:rsid w:val="00B60E27"/>
    <w:rsid w:val="00B61107"/>
    <w:rsid w:val="00B616AD"/>
    <w:rsid w:val="00B61939"/>
    <w:rsid w:val="00B62126"/>
    <w:rsid w:val="00B62CDA"/>
    <w:rsid w:val="00B62D4A"/>
    <w:rsid w:val="00B636A6"/>
    <w:rsid w:val="00B64993"/>
    <w:rsid w:val="00B65A72"/>
    <w:rsid w:val="00B66525"/>
    <w:rsid w:val="00B668ED"/>
    <w:rsid w:val="00B7054F"/>
    <w:rsid w:val="00B71421"/>
    <w:rsid w:val="00B7275F"/>
    <w:rsid w:val="00B72A10"/>
    <w:rsid w:val="00B72A65"/>
    <w:rsid w:val="00B737C6"/>
    <w:rsid w:val="00B750D0"/>
    <w:rsid w:val="00B7531E"/>
    <w:rsid w:val="00B75DC2"/>
    <w:rsid w:val="00B77040"/>
    <w:rsid w:val="00B807BD"/>
    <w:rsid w:val="00B80D5C"/>
    <w:rsid w:val="00B80DBA"/>
    <w:rsid w:val="00B81658"/>
    <w:rsid w:val="00B81D33"/>
    <w:rsid w:val="00B81DD2"/>
    <w:rsid w:val="00B82739"/>
    <w:rsid w:val="00B82E2C"/>
    <w:rsid w:val="00B838A6"/>
    <w:rsid w:val="00B84691"/>
    <w:rsid w:val="00B8469E"/>
    <w:rsid w:val="00B8607C"/>
    <w:rsid w:val="00B86A3A"/>
    <w:rsid w:val="00B911E6"/>
    <w:rsid w:val="00B91269"/>
    <w:rsid w:val="00B92F1F"/>
    <w:rsid w:val="00B9394E"/>
    <w:rsid w:val="00B93C8B"/>
    <w:rsid w:val="00B943A6"/>
    <w:rsid w:val="00B94576"/>
    <w:rsid w:val="00B94825"/>
    <w:rsid w:val="00B94B4B"/>
    <w:rsid w:val="00B94F99"/>
    <w:rsid w:val="00B955A3"/>
    <w:rsid w:val="00B96026"/>
    <w:rsid w:val="00B96361"/>
    <w:rsid w:val="00B975F4"/>
    <w:rsid w:val="00BA266C"/>
    <w:rsid w:val="00BA2C11"/>
    <w:rsid w:val="00BA378F"/>
    <w:rsid w:val="00BA397F"/>
    <w:rsid w:val="00BA4190"/>
    <w:rsid w:val="00BA462F"/>
    <w:rsid w:val="00BA4A5E"/>
    <w:rsid w:val="00BA4C06"/>
    <w:rsid w:val="00BA5BF6"/>
    <w:rsid w:val="00BA7378"/>
    <w:rsid w:val="00BB078D"/>
    <w:rsid w:val="00BB1DD6"/>
    <w:rsid w:val="00BB23DB"/>
    <w:rsid w:val="00BB2556"/>
    <w:rsid w:val="00BB25E3"/>
    <w:rsid w:val="00BB332A"/>
    <w:rsid w:val="00BB3713"/>
    <w:rsid w:val="00BB3BD2"/>
    <w:rsid w:val="00BB3F9D"/>
    <w:rsid w:val="00BB4323"/>
    <w:rsid w:val="00BB439C"/>
    <w:rsid w:val="00BB7152"/>
    <w:rsid w:val="00BB7248"/>
    <w:rsid w:val="00BB748D"/>
    <w:rsid w:val="00BC0066"/>
    <w:rsid w:val="00BC0345"/>
    <w:rsid w:val="00BC0BAB"/>
    <w:rsid w:val="00BC12F9"/>
    <w:rsid w:val="00BC14F7"/>
    <w:rsid w:val="00BC1F20"/>
    <w:rsid w:val="00BC6327"/>
    <w:rsid w:val="00BC63E2"/>
    <w:rsid w:val="00BC65F0"/>
    <w:rsid w:val="00BC6BA0"/>
    <w:rsid w:val="00BC7113"/>
    <w:rsid w:val="00BC7DBC"/>
    <w:rsid w:val="00BD062F"/>
    <w:rsid w:val="00BD37EF"/>
    <w:rsid w:val="00BD463E"/>
    <w:rsid w:val="00BD6270"/>
    <w:rsid w:val="00BD691C"/>
    <w:rsid w:val="00BD6B42"/>
    <w:rsid w:val="00BD70C0"/>
    <w:rsid w:val="00BD7136"/>
    <w:rsid w:val="00BD78A1"/>
    <w:rsid w:val="00BE1CF7"/>
    <w:rsid w:val="00BE1D86"/>
    <w:rsid w:val="00BE2A9D"/>
    <w:rsid w:val="00BE2F53"/>
    <w:rsid w:val="00BE465A"/>
    <w:rsid w:val="00BE6CF2"/>
    <w:rsid w:val="00BE7445"/>
    <w:rsid w:val="00BE7F6C"/>
    <w:rsid w:val="00BF1BD2"/>
    <w:rsid w:val="00BF1E55"/>
    <w:rsid w:val="00BF1EEA"/>
    <w:rsid w:val="00BF272D"/>
    <w:rsid w:val="00BF2835"/>
    <w:rsid w:val="00BF29E8"/>
    <w:rsid w:val="00BF3F76"/>
    <w:rsid w:val="00BF438C"/>
    <w:rsid w:val="00BF54F8"/>
    <w:rsid w:val="00BF597E"/>
    <w:rsid w:val="00BF69C6"/>
    <w:rsid w:val="00BF7448"/>
    <w:rsid w:val="00C0096A"/>
    <w:rsid w:val="00C02B30"/>
    <w:rsid w:val="00C02DC7"/>
    <w:rsid w:val="00C03327"/>
    <w:rsid w:val="00C03B30"/>
    <w:rsid w:val="00C040D2"/>
    <w:rsid w:val="00C0464C"/>
    <w:rsid w:val="00C04F64"/>
    <w:rsid w:val="00C05C68"/>
    <w:rsid w:val="00C05E54"/>
    <w:rsid w:val="00C077A9"/>
    <w:rsid w:val="00C07E86"/>
    <w:rsid w:val="00C10908"/>
    <w:rsid w:val="00C1102D"/>
    <w:rsid w:val="00C1184A"/>
    <w:rsid w:val="00C1233F"/>
    <w:rsid w:val="00C1294A"/>
    <w:rsid w:val="00C13241"/>
    <w:rsid w:val="00C1370A"/>
    <w:rsid w:val="00C15AE7"/>
    <w:rsid w:val="00C15B4C"/>
    <w:rsid w:val="00C15EE7"/>
    <w:rsid w:val="00C164C0"/>
    <w:rsid w:val="00C16D0E"/>
    <w:rsid w:val="00C17B61"/>
    <w:rsid w:val="00C20BF5"/>
    <w:rsid w:val="00C2129F"/>
    <w:rsid w:val="00C21AEF"/>
    <w:rsid w:val="00C22D84"/>
    <w:rsid w:val="00C2337A"/>
    <w:rsid w:val="00C24110"/>
    <w:rsid w:val="00C24580"/>
    <w:rsid w:val="00C24AA7"/>
    <w:rsid w:val="00C25670"/>
    <w:rsid w:val="00C26DDC"/>
    <w:rsid w:val="00C26F26"/>
    <w:rsid w:val="00C27F1F"/>
    <w:rsid w:val="00C302C7"/>
    <w:rsid w:val="00C31F16"/>
    <w:rsid w:val="00C32267"/>
    <w:rsid w:val="00C3258F"/>
    <w:rsid w:val="00C3331F"/>
    <w:rsid w:val="00C3417D"/>
    <w:rsid w:val="00C35019"/>
    <w:rsid w:val="00C3546B"/>
    <w:rsid w:val="00C37C59"/>
    <w:rsid w:val="00C40234"/>
    <w:rsid w:val="00C4060E"/>
    <w:rsid w:val="00C40FFC"/>
    <w:rsid w:val="00C41AB5"/>
    <w:rsid w:val="00C41BE2"/>
    <w:rsid w:val="00C41C84"/>
    <w:rsid w:val="00C41F62"/>
    <w:rsid w:val="00C428ED"/>
    <w:rsid w:val="00C434C3"/>
    <w:rsid w:val="00C436A9"/>
    <w:rsid w:val="00C44389"/>
    <w:rsid w:val="00C45E5E"/>
    <w:rsid w:val="00C46495"/>
    <w:rsid w:val="00C465DC"/>
    <w:rsid w:val="00C46837"/>
    <w:rsid w:val="00C46E2D"/>
    <w:rsid w:val="00C4786B"/>
    <w:rsid w:val="00C52023"/>
    <w:rsid w:val="00C53E3F"/>
    <w:rsid w:val="00C54249"/>
    <w:rsid w:val="00C563C1"/>
    <w:rsid w:val="00C5712C"/>
    <w:rsid w:val="00C57C71"/>
    <w:rsid w:val="00C57D95"/>
    <w:rsid w:val="00C60B25"/>
    <w:rsid w:val="00C61D45"/>
    <w:rsid w:val="00C63B38"/>
    <w:rsid w:val="00C70071"/>
    <w:rsid w:val="00C70472"/>
    <w:rsid w:val="00C70B32"/>
    <w:rsid w:val="00C72499"/>
    <w:rsid w:val="00C73398"/>
    <w:rsid w:val="00C745A5"/>
    <w:rsid w:val="00C745C3"/>
    <w:rsid w:val="00C745FC"/>
    <w:rsid w:val="00C74787"/>
    <w:rsid w:val="00C74B21"/>
    <w:rsid w:val="00C758A9"/>
    <w:rsid w:val="00C75EA8"/>
    <w:rsid w:val="00C760D4"/>
    <w:rsid w:val="00C77E2F"/>
    <w:rsid w:val="00C8091F"/>
    <w:rsid w:val="00C818F7"/>
    <w:rsid w:val="00C819E9"/>
    <w:rsid w:val="00C831BA"/>
    <w:rsid w:val="00C844B6"/>
    <w:rsid w:val="00C85933"/>
    <w:rsid w:val="00C8631B"/>
    <w:rsid w:val="00C86D45"/>
    <w:rsid w:val="00C87AE0"/>
    <w:rsid w:val="00C91A8C"/>
    <w:rsid w:val="00C91C12"/>
    <w:rsid w:val="00C91D7F"/>
    <w:rsid w:val="00C923DC"/>
    <w:rsid w:val="00C92DC0"/>
    <w:rsid w:val="00C93CBF"/>
    <w:rsid w:val="00C94553"/>
    <w:rsid w:val="00C9477E"/>
    <w:rsid w:val="00C94CA1"/>
    <w:rsid w:val="00C964A7"/>
    <w:rsid w:val="00C97070"/>
    <w:rsid w:val="00C97508"/>
    <w:rsid w:val="00CA1321"/>
    <w:rsid w:val="00CA454E"/>
    <w:rsid w:val="00CA5118"/>
    <w:rsid w:val="00CA51DE"/>
    <w:rsid w:val="00CA599B"/>
    <w:rsid w:val="00CA6FAB"/>
    <w:rsid w:val="00CA6FE2"/>
    <w:rsid w:val="00CA702E"/>
    <w:rsid w:val="00CA740E"/>
    <w:rsid w:val="00CA7EF1"/>
    <w:rsid w:val="00CB08C9"/>
    <w:rsid w:val="00CB1796"/>
    <w:rsid w:val="00CB1922"/>
    <w:rsid w:val="00CB25C9"/>
    <w:rsid w:val="00CB2D2C"/>
    <w:rsid w:val="00CB3F1D"/>
    <w:rsid w:val="00CB45EB"/>
    <w:rsid w:val="00CB4C40"/>
    <w:rsid w:val="00CB58DD"/>
    <w:rsid w:val="00CB6574"/>
    <w:rsid w:val="00CB6D08"/>
    <w:rsid w:val="00CB6F36"/>
    <w:rsid w:val="00CB72BC"/>
    <w:rsid w:val="00CB79F5"/>
    <w:rsid w:val="00CC08AE"/>
    <w:rsid w:val="00CC1186"/>
    <w:rsid w:val="00CC27C8"/>
    <w:rsid w:val="00CC3FB4"/>
    <w:rsid w:val="00CC4A35"/>
    <w:rsid w:val="00CC4A90"/>
    <w:rsid w:val="00CC6B1A"/>
    <w:rsid w:val="00CC6C16"/>
    <w:rsid w:val="00CC7CF7"/>
    <w:rsid w:val="00CC7E89"/>
    <w:rsid w:val="00CC7FAE"/>
    <w:rsid w:val="00CD0F04"/>
    <w:rsid w:val="00CD1532"/>
    <w:rsid w:val="00CD1AE2"/>
    <w:rsid w:val="00CD1C58"/>
    <w:rsid w:val="00CD3298"/>
    <w:rsid w:val="00CD350F"/>
    <w:rsid w:val="00CD437F"/>
    <w:rsid w:val="00CD53D8"/>
    <w:rsid w:val="00CD7185"/>
    <w:rsid w:val="00CD7FB3"/>
    <w:rsid w:val="00CE056C"/>
    <w:rsid w:val="00CE094A"/>
    <w:rsid w:val="00CE0959"/>
    <w:rsid w:val="00CE23BB"/>
    <w:rsid w:val="00CE2753"/>
    <w:rsid w:val="00CE2E4D"/>
    <w:rsid w:val="00CE30D3"/>
    <w:rsid w:val="00CE3FBA"/>
    <w:rsid w:val="00CE48F5"/>
    <w:rsid w:val="00CE4AE2"/>
    <w:rsid w:val="00CE620C"/>
    <w:rsid w:val="00CE64BD"/>
    <w:rsid w:val="00CE7606"/>
    <w:rsid w:val="00CF0656"/>
    <w:rsid w:val="00CF0D52"/>
    <w:rsid w:val="00CF32DE"/>
    <w:rsid w:val="00CF3A95"/>
    <w:rsid w:val="00CF3C7C"/>
    <w:rsid w:val="00CF3DD2"/>
    <w:rsid w:val="00CF3F7E"/>
    <w:rsid w:val="00CF49C3"/>
    <w:rsid w:val="00CF4A1A"/>
    <w:rsid w:val="00CF4BDB"/>
    <w:rsid w:val="00CF4C8C"/>
    <w:rsid w:val="00CF75F4"/>
    <w:rsid w:val="00D00ECE"/>
    <w:rsid w:val="00D011FE"/>
    <w:rsid w:val="00D0214C"/>
    <w:rsid w:val="00D0286E"/>
    <w:rsid w:val="00D02EB7"/>
    <w:rsid w:val="00D03337"/>
    <w:rsid w:val="00D03501"/>
    <w:rsid w:val="00D0387D"/>
    <w:rsid w:val="00D045EA"/>
    <w:rsid w:val="00D048A7"/>
    <w:rsid w:val="00D05581"/>
    <w:rsid w:val="00D065E2"/>
    <w:rsid w:val="00D06A8E"/>
    <w:rsid w:val="00D07B69"/>
    <w:rsid w:val="00D07DAF"/>
    <w:rsid w:val="00D1034A"/>
    <w:rsid w:val="00D104B6"/>
    <w:rsid w:val="00D106DC"/>
    <w:rsid w:val="00D10B85"/>
    <w:rsid w:val="00D10F37"/>
    <w:rsid w:val="00D13CB5"/>
    <w:rsid w:val="00D140FB"/>
    <w:rsid w:val="00D15717"/>
    <w:rsid w:val="00D163A4"/>
    <w:rsid w:val="00D17279"/>
    <w:rsid w:val="00D17BD4"/>
    <w:rsid w:val="00D20B3E"/>
    <w:rsid w:val="00D21E4A"/>
    <w:rsid w:val="00D2390D"/>
    <w:rsid w:val="00D244D7"/>
    <w:rsid w:val="00D24962"/>
    <w:rsid w:val="00D24BCB"/>
    <w:rsid w:val="00D251E7"/>
    <w:rsid w:val="00D252D8"/>
    <w:rsid w:val="00D25DBF"/>
    <w:rsid w:val="00D2785D"/>
    <w:rsid w:val="00D27A3E"/>
    <w:rsid w:val="00D31459"/>
    <w:rsid w:val="00D31B3C"/>
    <w:rsid w:val="00D31C61"/>
    <w:rsid w:val="00D31F04"/>
    <w:rsid w:val="00D32A96"/>
    <w:rsid w:val="00D32AC2"/>
    <w:rsid w:val="00D32D53"/>
    <w:rsid w:val="00D32D98"/>
    <w:rsid w:val="00D331D9"/>
    <w:rsid w:val="00D3408E"/>
    <w:rsid w:val="00D342B9"/>
    <w:rsid w:val="00D34871"/>
    <w:rsid w:val="00D34A5F"/>
    <w:rsid w:val="00D36411"/>
    <w:rsid w:val="00D37B15"/>
    <w:rsid w:val="00D413EC"/>
    <w:rsid w:val="00D419BD"/>
    <w:rsid w:val="00D42321"/>
    <w:rsid w:val="00D4238A"/>
    <w:rsid w:val="00D50B7A"/>
    <w:rsid w:val="00D50F34"/>
    <w:rsid w:val="00D518D0"/>
    <w:rsid w:val="00D51FC7"/>
    <w:rsid w:val="00D52F2E"/>
    <w:rsid w:val="00D54BD2"/>
    <w:rsid w:val="00D571B7"/>
    <w:rsid w:val="00D57925"/>
    <w:rsid w:val="00D57954"/>
    <w:rsid w:val="00D57F59"/>
    <w:rsid w:val="00D607E4"/>
    <w:rsid w:val="00D60CF2"/>
    <w:rsid w:val="00D61575"/>
    <w:rsid w:val="00D6298C"/>
    <w:rsid w:val="00D6366F"/>
    <w:rsid w:val="00D64041"/>
    <w:rsid w:val="00D65689"/>
    <w:rsid w:val="00D664D0"/>
    <w:rsid w:val="00D700FC"/>
    <w:rsid w:val="00D7064C"/>
    <w:rsid w:val="00D71264"/>
    <w:rsid w:val="00D714C6"/>
    <w:rsid w:val="00D718DB"/>
    <w:rsid w:val="00D72743"/>
    <w:rsid w:val="00D727E4"/>
    <w:rsid w:val="00D72B9E"/>
    <w:rsid w:val="00D7333E"/>
    <w:rsid w:val="00D73B47"/>
    <w:rsid w:val="00D7477B"/>
    <w:rsid w:val="00D75F5D"/>
    <w:rsid w:val="00D76168"/>
    <w:rsid w:val="00D76BDE"/>
    <w:rsid w:val="00D80689"/>
    <w:rsid w:val="00D813EA"/>
    <w:rsid w:val="00D8295E"/>
    <w:rsid w:val="00D829F4"/>
    <w:rsid w:val="00D82C3E"/>
    <w:rsid w:val="00D83631"/>
    <w:rsid w:val="00D83985"/>
    <w:rsid w:val="00D8521D"/>
    <w:rsid w:val="00D86815"/>
    <w:rsid w:val="00D86CCD"/>
    <w:rsid w:val="00D87E0F"/>
    <w:rsid w:val="00D90D48"/>
    <w:rsid w:val="00D90E47"/>
    <w:rsid w:val="00D910E8"/>
    <w:rsid w:val="00D91CF9"/>
    <w:rsid w:val="00D96376"/>
    <w:rsid w:val="00D966BF"/>
    <w:rsid w:val="00D96ACC"/>
    <w:rsid w:val="00D9752B"/>
    <w:rsid w:val="00D97CA8"/>
    <w:rsid w:val="00D97E49"/>
    <w:rsid w:val="00DA07ED"/>
    <w:rsid w:val="00DA0F78"/>
    <w:rsid w:val="00DA1178"/>
    <w:rsid w:val="00DA218B"/>
    <w:rsid w:val="00DA244B"/>
    <w:rsid w:val="00DA3DBC"/>
    <w:rsid w:val="00DA5387"/>
    <w:rsid w:val="00DA62C4"/>
    <w:rsid w:val="00DA693E"/>
    <w:rsid w:val="00DA6D36"/>
    <w:rsid w:val="00DA7151"/>
    <w:rsid w:val="00DA77F1"/>
    <w:rsid w:val="00DA7A77"/>
    <w:rsid w:val="00DA7C47"/>
    <w:rsid w:val="00DB01C7"/>
    <w:rsid w:val="00DB0436"/>
    <w:rsid w:val="00DB1048"/>
    <w:rsid w:val="00DB13E9"/>
    <w:rsid w:val="00DB2094"/>
    <w:rsid w:val="00DB23F8"/>
    <w:rsid w:val="00DB2740"/>
    <w:rsid w:val="00DB3E58"/>
    <w:rsid w:val="00DB627E"/>
    <w:rsid w:val="00DB6575"/>
    <w:rsid w:val="00DB6841"/>
    <w:rsid w:val="00DB688D"/>
    <w:rsid w:val="00DB6B9F"/>
    <w:rsid w:val="00DB6FB8"/>
    <w:rsid w:val="00DB7D0E"/>
    <w:rsid w:val="00DB7D69"/>
    <w:rsid w:val="00DC0520"/>
    <w:rsid w:val="00DC0951"/>
    <w:rsid w:val="00DC0B92"/>
    <w:rsid w:val="00DC0DEC"/>
    <w:rsid w:val="00DC1539"/>
    <w:rsid w:val="00DC5963"/>
    <w:rsid w:val="00DC5B24"/>
    <w:rsid w:val="00DC6106"/>
    <w:rsid w:val="00DC727D"/>
    <w:rsid w:val="00DC72D3"/>
    <w:rsid w:val="00DC742A"/>
    <w:rsid w:val="00DC7605"/>
    <w:rsid w:val="00DD019D"/>
    <w:rsid w:val="00DD115E"/>
    <w:rsid w:val="00DD2C13"/>
    <w:rsid w:val="00DD3974"/>
    <w:rsid w:val="00DD3D60"/>
    <w:rsid w:val="00DD40EB"/>
    <w:rsid w:val="00DD4BEC"/>
    <w:rsid w:val="00DD4D8E"/>
    <w:rsid w:val="00DD7E9D"/>
    <w:rsid w:val="00DE0197"/>
    <w:rsid w:val="00DE1C72"/>
    <w:rsid w:val="00DE26FD"/>
    <w:rsid w:val="00DE2FDE"/>
    <w:rsid w:val="00DE367D"/>
    <w:rsid w:val="00DE3F9F"/>
    <w:rsid w:val="00DE62A6"/>
    <w:rsid w:val="00DE686C"/>
    <w:rsid w:val="00DE7CF9"/>
    <w:rsid w:val="00DF0438"/>
    <w:rsid w:val="00DF0AB5"/>
    <w:rsid w:val="00DF1102"/>
    <w:rsid w:val="00DF28BA"/>
    <w:rsid w:val="00DF4FDB"/>
    <w:rsid w:val="00DF5894"/>
    <w:rsid w:val="00DF5EAB"/>
    <w:rsid w:val="00DF712C"/>
    <w:rsid w:val="00E0013C"/>
    <w:rsid w:val="00E00544"/>
    <w:rsid w:val="00E00896"/>
    <w:rsid w:val="00E01114"/>
    <w:rsid w:val="00E01D58"/>
    <w:rsid w:val="00E036AE"/>
    <w:rsid w:val="00E047BA"/>
    <w:rsid w:val="00E047D4"/>
    <w:rsid w:val="00E065CB"/>
    <w:rsid w:val="00E0695C"/>
    <w:rsid w:val="00E10CCD"/>
    <w:rsid w:val="00E112D3"/>
    <w:rsid w:val="00E12D91"/>
    <w:rsid w:val="00E162E3"/>
    <w:rsid w:val="00E164DB"/>
    <w:rsid w:val="00E171A7"/>
    <w:rsid w:val="00E17B87"/>
    <w:rsid w:val="00E17DD0"/>
    <w:rsid w:val="00E213A3"/>
    <w:rsid w:val="00E21EBE"/>
    <w:rsid w:val="00E225B0"/>
    <w:rsid w:val="00E22DD6"/>
    <w:rsid w:val="00E24C8B"/>
    <w:rsid w:val="00E2544D"/>
    <w:rsid w:val="00E255E7"/>
    <w:rsid w:val="00E30A4C"/>
    <w:rsid w:val="00E30B05"/>
    <w:rsid w:val="00E3300B"/>
    <w:rsid w:val="00E3367D"/>
    <w:rsid w:val="00E33D8F"/>
    <w:rsid w:val="00E33E09"/>
    <w:rsid w:val="00E348D5"/>
    <w:rsid w:val="00E3585B"/>
    <w:rsid w:val="00E368E6"/>
    <w:rsid w:val="00E37B16"/>
    <w:rsid w:val="00E4038F"/>
    <w:rsid w:val="00E419FC"/>
    <w:rsid w:val="00E42F62"/>
    <w:rsid w:val="00E45014"/>
    <w:rsid w:val="00E45122"/>
    <w:rsid w:val="00E50E01"/>
    <w:rsid w:val="00E51D1F"/>
    <w:rsid w:val="00E522B9"/>
    <w:rsid w:val="00E52C35"/>
    <w:rsid w:val="00E52F42"/>
    <w:rsid w:val="00E53A57"/>
    <w:rsid w:val="00E53FA3"/>
    <w:rsid w:val="00E544A9"/>
    <w:rsid w:val="00E546C6"/>
    <w:rsid w:val="00E54940"/>
    <w:rsid w:val="00E56B40"/>
    <w:rsid w:val="00E56FA0"/>
    <w:rsid w:val="00E57DD9"/>
    <w:rsid w:val="00E60230"/>
    <w:rsid w:val="00E60E9F"/>
    <w:rsid w:val="00E619B8"/>
    <w:rsid w:val="00E61EA6"/>
    <w:rsid w:val="00E62E12"/>
    <w:rsid w:val="00E635BB"/>
    <w:rsid w:val="00E650FD"/>
    <w:rsid w:val="00E65620"/>
    <w:rsid w:val="00E656FC"/>
    <w:rsid w:val="00E660EA"/>
    <w:rsid w:val="00E70E36"/>
    <w:rsid w:val="00E71BB4"/>
    <w:rsid w:val="00E7266F"/>
    <w:rsid w:val="00E72DB0"/>
    <w:rsid w:val="00E74E0F"/>
    <w:rsid w:val="00E76E9A"/>
    <w:rsid w:val="00E77496"/>
    <w:rsid w:val="00E80350"/>
    <w:rsid w:val="00E806D7"/>
    <w:rsid w:val="00E80954"/>
    <w:rsid w:val="00E80A28"/>
    <w:rsid w:val="00E80B09"/>
    <w:rsid w:val="00E80CDA"/>
    <w:rsid w:val="00E80E2B"/>
    <w:rsid w:val="00E8122F"/>
    <w:rsid w:val="00E8184E"/>
    <w:rsid w:val="00E83246"/>
    <w:rsid w:val="00E84137"/>
    <w:rsid w:val="00E85571"/>
    <w:rsid w:val="00E86BF1"/>
    <w:rsid w:val="00E8717F"/>
    <w:rsid w:val="00E87FD2"/>
    <w:rsid w:val="00E902F9"/>
    <w:rsid w:val="00E91723"/>
    <w:rsid w:val="00E92466"/>
    <w:rsid w:val="00E927E2"/>
    <w:rsid w:val="00E93C18"/>
    <w:rsid w:val="00E9440A"/>
    <w:rsid w:val="00E94B3C"/>
    <w:rsid w:val="00E94FF0"/>
    <w:rsid w:val="00E950D0"/>
    <w:rsid w:val="00E953C8"/>
    <w:rsid w:val="00E95A3F"/>
    <w:rsid w:val="00E95B66"/>
    <w:rsid w:val="00E95BAB"/>
    <w:rsid w:val="00E972B7"/>
    <w:rsid w:val="00E9773E"/>
    <w:rsid w:val="00EA09E8"/>
    <w:rsid w:val="00EA1A4E"/>
    <w:rsid w:val="00EA203B"/>
    <w:rsid w:val="00EA2149"/>
    <w:rsid w:val="00EA2A5B"/>
    <w:rsid w:val="00EA4211"/>
    <w:rsid w:val="00EA4646"/>
    <w:rsid w:val="00EA48D3"/>
    <w:rsid w:val="00EA57A9"/>
    <w:rsid w:val="00EA7DFF"/>
    <w:rsid w:val="00EB045E"/>
    <w:rsid w:val="00EB0B66"/>
    <w:rsid w:val="00EB26F0"/>
    <w:rsid w:val="00EB2BDC"/>
    <w:rsid w:val="00EB3140"/>
    <w:rsid w:val="00EB33A0"/>
    <w:rsid w:val="00EB3C1A"/>
    <w:rsid w:val="00EB3F92"/>
    <w:rsid w:val="00EB41E7"/>
    <w:rsid w:val="00EB4229"/>
    <w:rsid w:val="00EB48ED"/>
    <w:rsid w:val="00EB505B"/>
    <w:rsid w:val="00EB5304"/>
    <w:rsid w:val="00EB62A3"/>
    <w:rsid w:val="00EB7DE0"/>
    <w:rsid w:val="00EB7E51"/>
    <w:rsid w:val="00EB7F32"/>
    <w:rsid w:val="00EC1550"/>
    <w:rsid w:val="00EC19B0"/>
    <w:rsid w:val="00EC1CA4"/>
    <w:rsid w:val="00EC216A"/>
    <w:rsid w:val="00EC3A62"/>
    <w:rsid w:val="00EC592F"/>
    <w:rsid w:val="00EC6DBE"/>
    <w:rsid w:val="00EC72CC"/>
    <w:rsid w:val="00EC7784"/>
    <w:rsid w:val="00EC78A1"/>
    <w:rsid w:val="00ED1E87"/>
    <w:rsid w:val="00ED220F"/>
    <w:rsid w:val="00ED2695"/>
    <w:rsid w:val="00ED2B06"/>
    <w:rsid w:val="00ED4264"/>
    <w:rsid w:val="00ED4E97"/>
    <w:rsid w:val="00ED5304"/>
    <w:rsid w:val="00ED6651"/>
    <w:rsid w:val="00ED705D"/>
    <w:rsid w:val="00ED7148"/>
    <w:rsid w:val="00ED7446"/>
    <w:rsid w:val="00ED7B6B"/>
    <w:rsid w:val="00ED7FC8"/>
    <w:rsid w:val="00EE033C"/>
    <w:rsid w:val="00EE055B"/>
    <w:rsid w:val="00EE0A2E"/>
    <w:rsid w:val="00EE0CF2"/>
    <w:rsid w:val="00EE14CC"/>
    <w:rsid w:val="00EE1C52"/>
    <w:rsid w:val="00EE1CD2"/>
    <w:rsid w:val="00EE2353"/>
    <w:rsid w:val="00EE4281"/>
    <w:rsid w:val="00EE468F"/>
    <w:rsid w:val="00EE56DA"/>
    <w:rsid w:val="00EE5E7E"/>
    <w:rsid w:val="00EE621B"/>
    <w:rsid w:val="00EE6634"/>
    <w:rsid w:val="00EE6AAA"/>
    <w:rsid w:val="00EE7820"/>
    <w:rsid w:val="00EE7888"/>
    <w:rsid w:val="00EF0DEE"/>
    <w:rsid w:val="00EF10DD"/>
    <w:rsid w:val="00EF1549"/>
    <w:rsid w:val="00EF1B06"/>
    <w:rsid w:val="00EF2594"/>
    <w:rsid w:val="00EF3A64"/>
    <w:rsid w:val="00EF3F8D"/>
    <w:rsid w:val="00EF46E2"/>
    <w:rsid w:val="00EF52C5"/>
    <w:rsid w:val="00EF53F0"/>
    <w:rsid w:val="00EF5ABF"/>
    <w:rsid w:val="00EF6091"/>
    <w:rsid w:val="00EF73C2"/>
    <w:rsid w:val="00EF7689"/>
    <w:rsid w:val="00EF7B3C"/>
    <w:rsid w:val="00F00209"/>
    <w:rsid w:val="00F006DE"/>
    <w:rsid w:val="00F00C58"/>
    <w:rsid w:val="00F010F2"/>
    <w:rsid w:val="00F0200E"/>
    <w:rsid w:val="00F021FA"/>
    <w:rsid w:val="00F0277C"/>
    <w:rsid w:val="00F02AAC"/>
    <w:rsid w:val="00F02E42"/>
    <w:rsid w:val="00F050B9"/>
    <w:rsid w:val="00F05F69"/>
    <w:rsid w:val="00F05F81"/>
    <w:rsid w:val="00F060E2"/>
    <w:rsid w:val="00F061F5"/>
    <w:rsid w:val="00F06BEC"/>
    <w:rsid w:val="00F06EC4"/>
    <w:rsid w:val="00F07232"/>
    <w:rsid w:val="00F10450"/>
    <w:rsid w:val="00F113A8"/>
    <w:rsid w:val="00F11EDF"/>
    <w:rsid w:val="00F14171"/>
    <w:rsid w:val="00F15237"/>
    <w:rsid w:val="00F15967"/>
    <w:rsid w:val="00F15FCB"/>
    <w:rsid w:val="00F16257"/>
    <w:rsid w:val="00F166AB"/>
    <w:rsid w:val="00F17C32"/>
    <w:rsid w:val="00F20C4E"/>
    <w:rsid w:val="00F20D94"/>
    <w:rsid w:val="00F2184D"/>
    <w:rsid w:val="00F21C66"/>
    <w:rsid w:val="00F2230C"/>
    <w:rsid w:val="00F2403F"/>
    <w:rsid w:val="00F2634C"/>
    <w:rsid w:val="00F2676E"/>
    <w:rsid w:val="00F27271"/>
    <w:rsid w:val="00F302D1"/>
    <w:rsid w:val="00F30F1E"/>
    <w:rsid w:val="00F319C7"/>
    <w:rsid w:val="00F3295D"/>
    <w:rsid w:val="00F349CD"/>
    <w:rsid w:val="00F353F3"/>
    <w:rsid w:val="00F36CE2"/>
    <w:rsid w:val="00F36D03"/>
    <w:rsid w:val="00F37716"/>
    <w:rsid w:val="00F378D4"/>
    <w:rsid w:val="00F4080F"/>
    <w:rsid w:val="00F40B2C"/>
    <w:rsid w:val="00F40CE7"/>
    <w:rsid w:val="00F41EFD"/>
    <w:rsid w:val="00F43CC4"/>
    <w:rsid w:val="00F4574C"/>
    <w:rsid w:val="00F457BB"/>
    <w:rsid w:val="00F46184"/>
    <w:rsid w:val="00F465D2"/>
    <w:rsid w:val="00F46738"/>
    <w:rsid w:val="00F47E6E"/>
    <w:rsid w:val="00F50007"/>
    <w:rsid w:val="00F50179"/>
    <w:rsid w:val="00F5119A"/>
    <w:rsid w:val="00F51A28"/>
    <w:rsid w:val="00F52573"/>
    <w:rsid w:val="00F526A0"/>
    <w:rsid w:val="00F52C24"/>
    <w:rsid w:val="00F53993"/>
    <w:rsid w:val="00F545F0"/>
    <w:rsid w:val="00F555BE"/>
    <w:rsid w:val="00F55896"/>
    <w:rsid w:val="00F55B46"/>
    <w:rsid w:val="00F55FED"/>
    <w:rsid w:val="00F563A2"/>
    <w:rsid w:val="00F57848"/>
    <w:rsid w:val="00F579CD"/>
    <w:rsid w:val="00F61158"/>
    <w:rsid w:val="00F625A2"/>
    <w:rsid w:val="00F628C7"/>
    <w:rsid w:val="00F63D65"/>
    <w:rsid w:val="00F6532B"/>
    <w:rsid w:val="00F658DC"/>
    <w:rsid w:val="00F66FD9"/>
    <w:rsid w:val="00F67158"/>
    <w:rsid w:val="00F67645"/>
    <w:rsid w:val="00F67680"/>
    <w:rsid w:val="00F709B4"/>
    <w:rsid w:val="00F72203"/>
    <w:rsid w:val="00F72583"/>
    <w:rsid w:val="00F72F5E"/>
    <w:rsid w:val="00F7317B"/>
    <w:rsid w:val="00F74A8A"/>
    <w:rsid w:val="00F80766"/>
    <w:rsid w:val="00F80BB3"/>
    <w:rsid w:val="00F813A0"/>
    <w:rsid w:val="00F81606"/>
    <w:rsid w:val="00F82111"/>
    <w:rsid w:val="00F82182"/>
    <w:rsid w:val="00F82F5B"/>
    <w:rsid w:val="00F8325F"/>
    <w:rsid w:val="00F83AD5"/>
    <w:rsid w:val="00F83CEF"/>
    <w:rsid w:val="00F84E63"/>
    <w:rsid w:val="00F85E8E"/>
    <w:rsid w:val="00F8634D"/>
    <w:rsid w:val="00F90826"/>
    <w:rsid w:val="00F916C6"/>
    <w:rsid w:val="00F91EB1"/>
    <w:rsid w:val="00F92B6F"/>
    <w:rsid w:val="00F92BFD"/>
    <w:rsid w:val="00F935B2"/>
    <w:rsid w:val="00F96051"/>
    <w:rsid w:val="00F964A5"/>
    <w:rsid w:val="00F96502"/>
    <w:rsid w:val="00F978D3"/>
    <w:rsid w:val="00FA05CC"/>
    <w:rsid w:val="00FA0DB8"/>
    <w:rsid w:val="00FA0F4A"/>
    <w:rsid w:val="00FA23E5"/>
    <w:rsid w:val="00FA333E"/>
    <w:rsid w:val="00FA3725"/>
    <w:rsid w:val="00FA4534"/>
    <w:rsid w:val="00FA500C"/>
    <w:rsid w:val="00FA7340"/>
    <w:rsid w:val="00FA76F8"/>
    <w:rsid w:val="00FA77AB"/>
    <w:rsid w:val="00FA7F82"/>
    <w:rsid w:val="00FB0D6F"/>
    <w:rsid w:val="00FB0FCD"/>
    <w:rsid w:val="00FB1336"/>
    <w:rsid w:val="00FB183A"/>
    <w:rsid w:val="00FB3483"/>
    <w:rsid w:val="00FB4555"/>
    <w:rsid w:val="00FB5D13"/>
    <w:rsid w:val="00FB7862"/>
    <w:rsid w:val="00FC06C6"/>
    <w:rsid w:val="00FC1400"/>
    <w:rsid w:val="00FC1830"/>
    <w:rsid w:val="00FC1FC9"/>
    <w:rsid w:val="00FC2FE2"/>
    <w:rsid w:val="00FC3D50"/>
    <w:rsid w:val="00FC510E"/>
    <w:rsid w:val="00FC5F88"/>
    <w:rsid w:val="00FC6AAC"/>
    <w:rsid w:val="00FC7C5A"/>
    <w:rsid w:val="00FC7DAB"/>
    <w:rsid w:val="00FD0D9A"/>
    <w:rsid w:val="00FD16E3"/>
    <w:rsid w:val="00FD189F"/>
    <w:rsid w:val="00FD1D68"/>
    <w:rsid w:val="00FD226C"/>
    <w:rsid w:val="00FD2A43"/>
    <w:rsid w:val="00FD446B"/>
    <w:rsid w:val="00FD44A0"/>
    <w:rsid w:val="00FD45AB"/>
    <w:rsid w:val="00FD4B35"/>
    <w:rsid w:val="00FD5AD5"/>
    <w:rsid w:val="00FD7D83"/>
    <w:rsid w:val="00FE0702"/>
    <w:rsid w:val="00FE0A4F"/>
    <w:rsid w:val="00FE0E6B"/>
    <w:rsid w:val="00FE13C4"/>
    <w:rsid w:val="00FE196C"/>
    <w:rsid w:val="00FE1B51"/>
    <w:rsid w:val="00FE2309"/>
    <w:rsid w:val="00FE2EC6"/>
    <w:rsid w:val="00FE3A14"/>
    <w:rsid w:val="00FE4154"/>
    <w:rsid w:val="00FE4AAE"/>
    <w:rsid w:val="00FE4ED1"/>
    <w:rsid w:val="00FE5310"/>
    <w:rsid w:val="00FE5EEC"/>
    <w:rsid w:val="00FE6903"/>
    <w:rsid w:val="00FE6B7B"/>
    <w:rsid w:val="00FE7222"/>
    <w:rsid w:val="00FF0874"/>
    <w:rsid w:val="00FF08D0"/>
    <w:rsid w:val="00FF0AB9"/>
    <w:rsid w:val="00FF104B"/>
    <w:rsid w:val="00FF1413"/>
    <w:rsid w:val="00FF1D0B"/>
    <w:rsid w:val="00FF2840"/>
    <w:rsid w:val="00FF2B0B"/>
    <w:rsid w:val="00FF2EF0"/>
    <w:rsid w:val="00FF336A"/>
    <w:rsid w:val="00FF3E07"/>
    <w:rsid w:val="00FF740C"/>
    <w:rsid w:val="00FF78F0"/>
    <w:rsid w:val="00FF7968"/>
    <w:rsid w:val="2065C34E"/>
    <w:rsid w:val="42B1B27C"/>
    <w:rsid w:val="5513CE8B"/>
    <w:rsid w:val="5FB132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858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6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77DD"/>
    <w:pPr>
      <w:ind w:left="720"/>
      <w:contextualSpacing/>
    </w:pPr>
  </w:style>
  <w:style w:type="character" w:styleId="CommentReference">
    <w:name w:val="annotation reference"/>
    <w:basedOn w:val="DefaultParagraphFont"/>
    <w:uiPriority w:val="99"/>
    <w:semiHidden/>
    <w:unhideWhenUsed/>
    <w:rsid w:val="00A74834"/>
    <w:rPr>
      <w:sz w:val="16"/>
      <w:szCs w:val="16"/>
    </w:rPr>
  </w:style>
  <w:style w:type="paragraph" w:styleId="CommentText">
    <w:name w:val="annotation text"/>
    <w:basedOn w:val="Normal"/>
    <w:link w:val="CommentTextChar"/>
    <w:uiPriority w:val="99"/>
    <w:unhideWhenUsed/>
    <w:rsid w:val="00A74834"/>
    <w:pPr>
      <w:spacing w:line="240" w:lineRule="auto"/>
    </w:pPr>
    <w:rPr>
      <w:sz w:val="20"/>
      <w:szCs w:val="20"/>
    </w:rPr>
  </w:style>
  <w:style w:type="character" w:customStyle="1" w:styleId="CommentTextChar">
    <w:name w:val="Comment Text Char"/>
    <w:basedOn w:val="DefaultParagraphFont"/>
    <w:link w:val="CommentText"/>
    <w:uiPriority w:val="99"/>
    <w:rsid w:val="00A74834"/>
    <w:rPr>
      <w:sz w:val="20"/>
      <w:szCs w:val="20"/>
    </w:rPr>
  </w:style>
  <w:style w:type="paragraph" w:styleId="CommentSubject">
    <w:name w:val="annotation subject"/>
    <w:basedOn w:val="CommentText"/>
    <w:next w:val="CommentText"/>
    <w:link w:val="CommentSubjectChar"/>
    <w:uiPriority w:val="99"/>
    <w:semiHidden/>
    <w:unhideWhenUsed/>
    <w:rsid w:val="00A74834"/>
    <w:rPr>
      <w:b/>
      <w:bCs/>
    </w:rPr>
  </w:style>
  <w:style w:type="character" w:customStyle="1" w:styleId="CommentSubjectChar">
    <w:name w:val="Comment Subject Char"/>
    <w:basedOn w:val="CommentTextChar"/>
    <w:link w:val="CommentSubject"/>
    <w:uiPriority w:val="99"/>
    <w:semiHidden/>
    <w:rsid w:val="00A74834"/>
    <w:rPr>
      <w:b/>
      <w:bCs/>
      <w:sz w:val="20"/>
      <w:szCs w:val="20"/>
    </w:rPr>
  </w:style>
  <w:style w:type="table" w:styleId="TableGrid">
    <w:name w:val="Table Grid"/>
    <w:basedOn w:val="TableNormal"/>
    <w:uiPriority w:val="39"/>
    <w:rsid w:val="0041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275F"/>
    <w:pPr>
      <w:spacing w:after="0" w:line="240" w:lineRule="auto"/>
    </w:pPr>
  </w:style>
  <w:style w:type="character" w:styleId="Hyperlink">
    <w:name w:val="Hyperlink"/>
    <w:basedOn w:val="DefaultParagraphFont"/>
    <w:uiPriority w:val="99"/>
    <w:unhideWhenUsed/>
    <w:rsid w:val="00FE4ED1"/>
    <w:rPr>
      <w:color w:val="0563C1" w:themeColor="hyperlink"/>
      <w:u w:val="single"/>
    </w:rPr>
  </w:style>
  <w:style w:type="character" w:styleId="UnresolvedMention">
    <w:name w:val="Unresolved Mention"/>
    <w:basedOn w:val="DefaultParagraphFont"/>
    <w:uiPriority w:val="99"/>
    <w:semiHidden/>
    <w:unhideWhenUsed/>
    <w:rsid w:val="00FE4ED1"/>
    <w:rPr>
      <w:color w:val="605E5C"/>
      <w:shd w:val="clear" w:color="auto" w:fill="E1DFDD"/>
    </w:rPr>
  </w:style>
  <w:style w:type="character" w:customStyle="1" w:styleId="Heading1Char">
    <w:name w:val="Heading 1 Char"/>
    <w:basedOn w:val="DefaultParagraphFont"/>
    <w:link w:val="Heading1"/>
    <w:uiPriority w:val="9"/>
    <w:rsid w:val="009E16B4"/>
    <w:rPr>
      <w:rFonts w:asciiTheme="majorHAnsi" w:eastAsiaTheme="majorEastAsia" w:hAnsiTheme="majorHAnsi" w:cstheme="majorBidi"/>
      <w:color w:val="2F5496" w:themeColor="accent1" w:themeShade="BF"/>
      <w:sz w:val="32"/>
      <w:szCs w:val="32"/>
    </w:rPr>
  </w:style>
  <w:style w:type="paragraph" w:customStyle="1" w:styleId="AccessibleHeader">
    <w:name w:val="Accessible Header"/>
    <w:basedOn w:val="Heading1"/>
    <w:link w:val="AccessibleHeaderChar"/>
    <w:qFormat/>
    <w:rsid w:val="009E16B4"/>
    <w:pPr>
      <w:numPr>
        <w:numId w:val="6"/>
      </w:numPr>
      <w:spacing w:after="240"/>
    </w:pPr>
    <w:rPr>
      <w:rFonts w:ascii="Arial" w:hAnsi="Arial" w:cs="Arial"/>
      <w:b/>
      <w:bCs/>
      <w:color w:val="auto"/>
      <w:sz w:val="28"/>
      <w:szCs w:val="28"/>
    </w:rPr>
  </w:style>
  <w:style w:type="character" w:customStyle="1" w:styleId="ListParagraphChar">
    <w:name w:val="List Paragraph Char"/>
    <w:basedOn w:val="DefaultParagraphFont"/>
    <w:link w:val="ListParagraph"/>
    <w:uiPriority w:val="34"/>
    <w:rsid w:val="009E16B4"/>
  </w:style>
  <w:style w:type="character" w:customStyle="1" w:styleId="AccessibleHeaderChar">
    <w:name w:val="Accessible Header Char"/>
    <w:basedOn w:val="ListParagraphChar"/>
    <w:link w:val="AccessibleHeader"/>
    <w:rsid w:val="009E16B4"/>
    <w:rPr>
      <w:rFonts w:ascii="Arial" w:eastAsiaTheme="majorEastAsia" w:hAnsi="Arial" w:cs="Arial"/>
      <w:b/>
      <w:bCs/>
      <w:sz w:val="28"/>
      <w:szCs w:val="28"/>
    </w:rPr>
  </w:style>
  <w:style w:type="character" w:styleId="Mention">
    <w:name w:val="Mention"/>
    <w:basedOn w:val="DefaultParagraphFont"/>
    <w:uiPriority w:val="99"/>
    <w:unhideWhenUsed/>
    <w:rsid w:val="00E7266F"/>
    <w:rPr>
      <w:color w:val="2B579A"/>
      <w:shd w:val="clear" w:color="auto" w:fill="E1DFDD"/>
    </w:rPr>
  </w:style>
  <w:style w:type="paragraph" w:styleId="Header">
    <w:name w:val="header"/>
    <w:basedOn w:val="Normal"/>
    <w:link w:val="HeaderChar"/>
    <w:uiPriority w:val="99"/>
    <w:unhideWhenUsed/>
    <w:rsid w:val="002A7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10F"/>
  </w:style>
  <w:style w:type="paragraph" w:styleId="Footer">
    <w:name w:val="footer"/>
    <w:basedOn w:val="Normal"/>
    <w:link w:val="FooterChar"/>
    <w:uiPriority w:val="99"/>
    <w:unhideWhenUsed/>
    <w:rsid w:val="002A7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10F"/>
  </w:style>
  <w:style w:type="paragraph" w:styleId="BodyText">
    <w:name w:val="Body Text"/>
    <w:basedOn w:val="Normal"/>
    <w:link w:val="BodyTextChar"/>
    <w:uiPriority w:val="1"/>
    <w:qFormat/>
    <w:rsid w:val="00722655"/>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722655"/>
    <w:rPr>
      <w:rFonts w:ascii="Arial" w:eastAsia="Arial" w:hAnsi="Arial" w:cs="Arial"/>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0480">
      <w:bodyDiv w:val="1"/>
      <w:marLeft w:val="0"/>
      <w:marRight w:val="0"/>
      <w:marTop w:val="0"/>
      <w:marBottom w:val="0"/>
      <w:divBdr>
        <w:top w:val="none" w:sz="0" w:space="0" w:color="auto"/>
        <w:left w:val="none" w:sz="0" w:space="0" w:color="auto"/>
        <w:bottom w:val="none" w:sz="0" w:space="0" w:color="auto"/>
        <w:right w:val="none" w:sz="0" w:space="0" w:color="auto"/>
      </w:divBdr>
    </w:div>
    <w:div w:id="63487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hyperlink" Target="http://www.HealthHelp.ca.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935B822E-3732-4A68-930F-B955E93B66EC}">
  <ds:schemaRefs>
    <ds:schemaRef ds:uri="http://schemas.openxmlformats.org/officeDocument/2006/bibliography"/>
  </ds:schemaRefs>
</ds:datastoreItem>
</file>

<file path=customXml/itemProps2.xml><?xml version="1.0" encoding="utf-8"?>
<ds:datastoreItem xmlns:ds="http://schemas.openxmlformats.org/officeDocument/2006/customXml" ds:itemID="{072E24C3-CE64-4AC5-AD14-B9D49F71E671}"/>
</file>

<file path=customXml/itemProps3.xml><?xml version="1.0" encoding="utf-8"?>
<ds:datastoreItem xmlns:ds="http://schemas.openxmlformats.org/officeDocument/2006/customXml" ds:itemID="{A800897A-F02B-4369-B5B3-2A062242CEE8}"/>
</file>

<file path=customXml/itemProps4.xml><?xml version="1.0" encoding="utf-8"?>
<ds:datastoreItem xmlns:ds="http://schemas.openxmlformats.org/officeDocument/2006/customXml" ds:itemID="{7A20F0A6-3BC6-4FB6-8CA3-E9A1140E45E1}"/>
</file>

<file path=docProps/app.xml><?xml version="1.0" encoding="utf-8"?>
<Properties xmlns="http://schemas.openxmlformats.org/officeDocument/2006/extended-properties" xmlns:vt="http://schemas.openxmlformats.org/officeDocument/2006/docPropsVTypes">
  <Template>Normal.dotm</Template>
  <TotalTime>0</TotalTime>
  <Pages>25</Pages>
  <Words>8521</Words>
  <Characters>48572</Characters>
  <Application>Microsoft Office Word</Application>
  <DocSecurity>8</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56980</CharactersWithSpaces>
  <SharedDoc>false</SharedDoc>
  <HLinks>
    <vt:vector size="6" baseType="variant">
      <vt:variant>
        <vt:i4>786438</vt:i4>
      </vt:variant>
      <vt:variant>
        <vt:i4>3</vt:i4>
      </vt:variant>
      <vt:variant>
        <vt:i4>0</vt:i4>
      </vt:variant>
      <vt:variant>
        <vt:i4>5</vt:i4>
      </vt:variant>
      <vt:variant>
        <vt:lpwstr>http://www.healthhelp.ca.gov/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2023-12-13T01:50:00Z</dcterms:created>
  <dcterms:modified xsi:type="dcterms:W3CDTF">2023-12-13T01:51:00Z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ff0cf244d15a5f5a77f24d0297e95e5c1319b3e9dee49dcd474f02864cf2509e</vt:lpwstr>
  </property>
</Properties>
</file>